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30" w:type="dxa"/>
          <w:left w:w="30" w:type="dxa"/>
          <w:bottom w:w="30" w:type="dxa"/>
          <w:right w:w="30" w:type="dxa"/>
        </w:tblCellMar>
        <w:tblLook w:val="04A0" w:firstRow="1" w:lastRow="0" w:firstColumn="1" w:lastColumn="0" w:noHBand="0" w:noVBand="1"/>
      </w:tblPr>
      <w:tblGrid>
        <w:gridCol w:w="1901"/>
        <w:gridCol w:w="6739"/>
      </w:tblGrid>
      <w:tr w:rsidR="00AC4F6C" w:rsidRPr="00AC4F6C" w:rsidTr="00AC4F6C">
        <w:tc>
          <w:tcPr>
            <w:tcW w:w="0" w:type="auto"/>
            <w:gridSpan w:val="2"/>
            <w:shd w:val="clear" w:color="auto" w:fill="auto"/>
            <w:tcMar>
              <w:top w:w="90" w:type="dxa"/>
              <w:left w:w="30" w:type="dxa"/>
              <w:bottom w:w="90" w:type="dxa"/>
              <w:right w:w="30" w:type="dxa"/>
            </w:tcMar>
            <w:vAlign w:val="center"/>
            <w:hideMark/>
          </w:tcPr>
          <w:p w:rsidR="00AC4F6C" w:rsidRPr="00AC4F6C" w:rsidRDefault="00AC4F6C" w:rsidP="00AC4F6C">
            <w:pPr>
              <w:spacing w:after="0" w:line="336" w:lineRule="atLeast"/>
              <w:outlineLvl w:val="1"/>
              <w:rPr>
                <w:rFonts w:ascii="inherit" w:eastAsia="Times New Roman" w:hAnsi="inherit" w:cs="Helvetica"/>
                <w:color w:val="3A3C3D"/>
                <w:kern w:val="36"/>
                <w:sz w:val="45"/>
                <w:szCs w:val="45"/>
                <w:lang w:eastAsia="fr-CA"/>
              </w:rPr>
            </w:pPr>
            <w:r w:rsidRPr="00AC4F6C">
              <w:rPr>
                <w:rFonts w:ascii="inherit" w:eastAsia="Times New Roman" w:hAnsi="inherit" w:cs="Helvetica"/>
                <w:color w:val="3A3C3D"/>
                <w:kern w:val="36"/>
                <w:sz w:val="45"/>
                <w:szCs w:val="45"/>
                <w:lang w:eastAsia="fr-CA"/>
              </w:rPr>
              <w:t>Commis-comptable</w:t>
            </w:r>
          </w:p>
        </w:tc>
      </w:tr>
      <w:tr w:rsidR="00AC4F6C" w:rsidRPr="00AC4F6C" w:rsidTr="00AC4F6C">
        <w:tc>
          <w:tcPr>
            <w:tcW w:w="0" w:type="auto"/>
            <w:shd w:val="clear" w:color="auto" w:fill="auto"/>
            <w:noWrap/>
            <w:tcMar>
              <w:top w:w="90" w:type="dxa"/>
              <w:left w:w="30" w:type="dxa"/>
              <w:bottom w:w="90" w:type="dxa"/>
              <w:right w:w="30" w:type="dxa"/>
            </w:tcMar>
            <w:vAlign w:val="center"/>
            <w:hideMark/>
          </w:tcPr>
          <w:p w:rsidR="00AC4F6C" w:rsidRPr="00AC4F6C" w:rsidRDefault="00AC4F6C" w:rsidP="00AC4F6C">
            <w:pPr>
              <w:spacing w:after="0" w:line="336" w:lineRule="atLeast"/>
              <w:jc w:val="right"/>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Emplacement :</w:t>
            </w:r>
          </w:p>
        </w:tc>
        <w:tc>
          <w:tcPr>
            <w:tcW w:w="5000" w:type="pct"/>
            <w:shd w:val="clear" w:color="auto" w:fill="auto"/>
            <w:tcMar>
              <w:top w:w="90" w:type="dxa"/>
              <w:left w:w="30" w:type="dxa"/>
              <w:bottom w:w="90" w:type="dxa"/>
              <w:right w:w="30" w:type="dxa"/>
            </w:tcMar>
            <w:vAlign w:val="center"/>
            <w:hideMark/>
          </w:tcPr>
          <w:p w:rsidR="00AC4F6C" w:rsidRPr="00AC4F6C" w:rsidRDefault="00AC4F6C" w:rsidP="00AC4F6C">
            <w:pPr>
              <w:spacing w:after="0" w:line="336" w:lineRule="atLeast"/>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Montréal</w:t>
            </w:r>
          </w:p>
        </w:tc>
      </w:tr>
      <w:tr w:rsidR="00AC4F6C" w:rsidRPr="00AC4F6C" w:rsidTr="00AC4F6C">
        <w:tc>
          <w:tcPr>
            <w:tcW w:w="0" w:type="auto"/>
            <w:shd w:val="clear" w:color="auto" w:fill="auto"/>
            <w:noWrap/>
            <w:tcMar>
              <w:top w:w="90" w:type="dxa"/>
              <w:left w:w="30" w:type="dxa"/>
              <w:bottom w:w="90" w:type="dxa"/>
              <w:right w:w="30" w:type="dxa"/>
            </w:tcMar>
            <w:vAlign w:val="center"/>
            <w:hideMark/>
          </w:tcPr>
          <w:p w:rsidR="00AC4F6C" w:rsidRPr="00AC4F6C" w:rsidRDefault="00AC4F6C" w:rsidP="00AC4F6C">
            <w:pPr>
              <w:spacing w:after="0" w:line="336" w:lineRule="atLeast"/>
              <w:jc w:val="right"/>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Description brève :</w:t>
            </w:r>
          </w:p>
        </w:tc>
        <w:tc>
          <w:tcPr>
            <w:tcW w:w="5000" w:type="pct"/>
            <w:shd w:val="clear" w:color="auto" w:fill="auto"/>
            <w:tcMar>
              <w:top w:w="90" w:type="dxa"/>
              <w:left w:w="30" w:type="dxa"/>
              <w:bottom w:w="90" w:type="dxa"/>
              <w:right w:w="30" w:type="dxa"/>
            </w:tcMar>
            <w:vAlign w:val="center"/>
            <w:hideMark/>
          </w:tcPr>
          <w:p w:rsidR="00AC4F6C" w:rsidRPr="00AC4F6C" w:rsidRDefault="00AC4F6C" w:rsidP="00AC4F6C">
            <w:pPr>
              <w:spacing w:after="0" w:line="336" w:lineRule="atLeast"/>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Commis-comptable</w:t>
            </w:r>
          </w:p>
        </w:tc>
      </w:tr>
      <w:tr w:rsidR="00AC4F6C" w:rsidRPr="00AC4F6C" w:rsidTr="00AC4F6C">
        <w:tc>
          <w:tcPr>
            <w:tcW w:w="0" w:type="auto"/>
            <w:shd w:val="clear" w:color="auto" w:fill="auto"/>
            <w:tcMar>
              <w:top w:w="0" w:type="dxa"/>
              <w:left w:w="0" w:type="dxa"/>
              <w:bottom w:w="0" w:type="dxa"/>
              <w:right w:w="0" w:type="dxa"/>
            </w:tcMar>
            <w:vAlign w:val="center"/>
            <w:hideMark/>
          </w:tcPr>
          <w:p w:rsidR="00AC4F6C" w:rsidRPr="00AC4F6C" w:rsidRDefault="00AC4F6C" w:rsidP="00AC4F6C">
            <w:pPr>
              <w:spacing w:after="0" w:line="336" w:lineRule="atLeast"/>
              <w:rPr>
                <w:rFonts w:ascii="Open Sans" w:eastAsia="Times New Roman" w:hAnsi="Open Sans" w:cs="Helvetica"/>
                <w:color w:val="3A3C3D"/>
                <w:sz w:val="24"/>
                <w:szCs w:val="24"/>
                <w:lang w:eastAsia="fr-CA"/>
              </w:rPr>
            </w:pPr>
          </w:p>
        </w:tc>
        <w:tc>
          <w:tcPr>
            <w:tcW w:w="0" w:type="auto"/>
            <w:shd w:val="clear" w:color="auto" w:fill="auto"/>
            <w:tcMar>
              <w:top w:w="0" w:type="dxa"/>
              <w:left w:w="0" w:type="dxa"/>
              <w:bottom w:w="0" w:type="dxa"/>
              <w:right w:w="0" w:type="dxa"/>
            </w:tcMar>
            <w:vAlign w:val="center"/>
            <w:hideMark/>
          </w:tcPr>
          <w:p w:rsidR="00AC4F6C" w:rsidRPr="00AC4F6C" w:rsidRDefault="00AC4F6C" w:rsidP="00AC4F6C">
            <w:pPr>
              <w:spacing w:after="0" w:line="240" w:lineRule="auto"/>
              <w:rPr>
                <w:rFonts w:ascii="Times New Roman" w:eastAsia="Times New Roman" w:hAnsi="Times New Roman" w:cs="Times New Roman"/>
                <w:sz w:val="20"/>
                <w:szCs w:val="20"/>
                <w:lang w:eastAsia="fr-CA"/>
              </w:rPr>
            </w:pPr>
          </w:p>
        </w:tc>
      </w:tr>
      <w:tr w:rsidR="00AC4F6C" w:rsidRPr="00AC4F6C" w:rsidTr="00AC4F6C">
        <w:tc>
          <w:tcPr>
            <w:tcW w:w="0" w:type="auto"/>
            <w:gridSpan w:val="2"/>
            <w:shd w:val="clear" w:color="auto" w:fill="auto"/>
            <w:tcMar>
              <w:top w:w="90" w:type="dxa"/>
              <w:left w:w="30" w:type="dxa"/>
              <w:bottom w:w="90" w:type="dxa"/>
              <w:right w:w="30" w:type="dxa"/>
            </w:tcMar>
            <w:vAlign w:val="center"/>
            <w:hideMark/>
          </w:tcPr>
          <w:p w:rsidR="00AC4F6C" w:rsidRPr="00AC4F6C" w:rsidRDefault="00AC4F6C" w:rsidP="00AC4F6C">
            <w:pPr>
              <w:spacing w:before="300" w:after="264" w:line="336" w:lineRule="atLeast"/>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pict>
                <v:rect id="_x0000_i1025" style="width:6in;height:.75pt" o:hralign="center" o:hrstd="t" o:hrnoshade="t" o:hr="t" fillcolor="silver" stroked="f"/>
              </w:pict>
            </w:r>
          </w:p>
        </w:tc>
      </w:tr>
      <w:tr w:rsidR="00AC4F6C" w:rsidRPr="00AC4F6C" w:rsidTr="00AC4F6C">
        <w:tc>
          <w:tcPr>
            <w:tcW w:w="0" w:type="auto"/>
            <w:gridSpan w:val="2"/>
            <w:shd w:val="clear" w:color="auto" w:fill="auto"/>
            <w:tcMar>
              <w:top w:w="90" w:type="dxa"/>
              <w:left w:w="30" w:type="dxa"/>
              <w:bottom w:w="90" w:type="dxa"/>
              <w:right w:w="30" w:type="dxa"/>
            </w:tcMar>
            <w:vAlign w:val="center"/>
            <w:hideMark/>
          </w:tcPr>
          <w:p w:rsidR="00AC4F6C" w:rsidRPr="00AC4F6C" w:rsidRDefault="00AC4F6C" w:rsidP="00AC4F6C">
            <w:pPr>
              <w:spacing w:after="0" w:line="336" w:lineRule="atLeast"/>
              <w:outlineLvl w:val="1"/>
              <w:rPr>
                <w:rFonts w:ascii="inherit" w:eastAsia="Times New Roman" w:hAnsi="inherit" w:cs="Helvetica"/>
                <w:color w:val="3A3C3D"/>
                <w:kern w:val="36"/>
                <w:sz w:val="45"/>
                <w:szCs w:val="45"/>
                <w:lang w:eastAsia="fr-CA"/>
              </w:rPr>
            </w:pPr>
            <w:r w:rsidRPr="00AC4F6C">
              <w:rPr>
                <w:rFonts w:ascii="inherit" w:eastAsia="Times New Roman" w:hAnsi="inherit" w:cs="Helvetica"/>
                <w:color w:val="3A3C3D"/>
                <w:kern w:val="36"/>
                <w:sz w:val="45"/>
                <w:szCs w:val="45"/>
                <w:lang w:eastAsia="fr-CA"/>
              </w:rPr>
              <w:t>Description</w:t>
            </w:r>
          </w:p>
        </w:tc>
      </w:tr>
      <w:tr w:rsidR="00AC4F6C" w:rsidRPr="00AC4F6C" w:rsidTr="00AC4F6C">
        <w:tc>
          <w:tcPr>
            <w:tcW w:w="0" w:type="auto"/>
            <w:gridSpan w:val="2"/>
            <w:shd w:val="clear" w:color="auto" w:fill="auto"/>
            <w:tcMar>
              <w:top w:w="90" w:type="dxa"/>
              <w:left w:w="30" w:type="dxa"/>
              <w:bottom w:w="90" w:type="dxa"/>
              <w:right w:w="30" w:type="dxa"/>
            </w:tcMar>
            <w:vAlign w:val="center"/>
            <w:hideMark/>
          </w:tcPr>
          <w:p w:rsidR="00AC4F6C" w:rsidRPr="00AC4F6C" w:rsidRDefault="00AC4F6C" w:rsidP="00AC4F6C">
            <w:pPr>
              <w:spacing w:after="264" w:line="336" w:lineRule="atLeast"/>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Voici l’occasion de vous joindre à l’équipe d’ACCEO Solutions, là où les employés sont au cœur de nos préoccupations. ACCEO Solutions vous offre un environnement de travail qui reflète concrètement nos valeurs telles que la qualité, la créativité, le respect, la responsabilité et l’intégrité.</w:t>
            </w:r>
            <w:r w:rsidRPr="00AC4F6C">
              <w:rPr>
                <w:rFonts w:ascii="Open Sans" w:eastAsia="Times New Roman" w:hAnsi="Open Sans" w:cs="Helvetica"/>
                <w:color w:val="3A3C3D"/>
                <w:sz w:val="24"/>
                <w:szCs w:val="24"/>
                <w:lang w:eastAsia="fr-CA"/>
              </w:rPr>
              <w:br/>
              <w:t> </w:t>
            </w:r>
            <w:r w:rsidRPr="00AC4F6C">
              <w:rPr>
                <w:rFonts w:ascii="Open Sans" w:eastAsia="Times New Roman" w:hAnsi="Open Sans" w:cs="Helvetica"/>
                <w:color w:val="3A3C3D"/>
                <w:sz w:val="24"/>
                <w:szCs w:val="24"/>
                <w:lang w:eastAsia="fr-CA"/>
              </w:rPr>
              <w:br/>
              <w:t>Sous la supervision du Contrôleur de l’unité, le commis-comptable est responsable de la facturation clients et la facturation des renouvellements de contrat de services pour l’unité. Il effectue également le suivi des renouvellements avec les clients sur une base mensuelle et annuelle.</w:t>
            </w:r>
            <w:r w:rsidRPr="00AC4F6C">
              <w:rPr>
                <w:rFonts w:ascii="Open Sans" w:eastAsia="Times New Roman" w:hAnsi="Open Sans" w:cs="Helvetica"/>
                <w:color w:val="3A3C3D"/>
                <w:sz w:val="24"/>
                <w:szCs w:val="24"/>
                <w:lang w:eastAsia="fr-CA"/>
              </w:rPr>
              <w:br/>
              <w:t> </w:t>
            </w:r>
            <w:r w:rsidRPr="00AC4F6C">
              <w:rPr>
                <w:rFonts w:ascii="Open Sans" w:eastAsia="Times New Roman" w:hAnsi="Open Sans" w:cs="Helvetica"/>
                <w:color w:val="3A3C3D"/>
                <w:sz w:val="24"/>
                <w:szCs w:val="24"/>
                <w:lang w:eastAsia="fr-CA"/>
              </w:rPr>
              <w:br/>
            </w:r>
            <w:r w:rsidRPr="00AC4F6C">
              <w:rPr>
                <w:rFonts w:ascii="Open Sans" w:eastAsia="Times New Roman" w:hAnsi="Open Sans" w:cs="Helvetica"/>
                <w:b/>
                <w:bCs/>
                <w:color w:val="3A3C3D"/>
                <w:sz w:val="24"/>
                <w:szCs w:val="24"/>
                <w:lang w:eastAsia="fr-CA"/>
              </w:rPr>
              <w:t>Responsabilités :</w:t>
            </w:r>
          </w:p>
          <w:p w:rsidR="00AC4F6C" w:rsidRPr="00AC4F6C" w:rsidRDefault="00AC4F6C" w:rsidP="00AC4F6C">
            <w:pPr>
              <w:numPr>
                <w:ilvl w:val="0"/>
                <w:numId w:val="1"/>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Procède à la facturation de type récurrente, comme les contrats de support annuel et le transactionnel mensuel;</w:t>
            </w:r>
          </w:p>
          <w:p w:rsidR="00AC4F6C" w:rsidRPr="00AC4F6C" w:rsidRDefault="00AC4F6C" w:rsidP="00AC4F6C">
            <w:pPr>
              <w:numPr>
                <w:ilvl w:val="0"/>
                <w:numId w:val="1"/>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Effectue le suivi des renouvellements et communique régulièrement avec les clients;</w:t>
            </w:r>
          </w:p>
          <w:p w:rsidR="00AC4F6C" w:rsidRPr="00AC4F6C" w:rsidRDefault="00AC4F6C" w:rsidP="00AC4F6C">
            <w:pPr>
              <w:numPr>
                <w:ilvl w:val="0"/>
                <w:numId w:val="1"/>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Travaille en étroite collaboration avec le contrôleur;</w:t>
            </w:r>
          </w:p>
          <w:p w:rsidR="00AC4F6C" w:rsidRPr="00AC4F6C" w:rsidRDefault="00AC4F6C" w:rsidP="00AC4F6C">
            <w:pPr>
              <w:numPr>
                <w:ilvl w:val="0"/>
                <w:numId w:val="1"/>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Offre le support nécessaire en fin de mois et en fin d'année;</w:t>
            </w:r>
          </w:p>
          <w:p w:rsidR="00AC4F6C" w:rsidRPr="00AC4F6C" w:rsidRDefault="00AC4F6C" w:rsidP="00AC4F6C">
            <w:pPr>
              <w:numPr>
                <w:ilvl w:val="0"/>
                <w:numId w:val="1"/>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Classe les documents traités;</w:t>
            </w:r>
          </w:p>
          <w:p w:rsidR="00AC4F6C" w:rsidRPr="00AC4F6C" w:rsidRDefault="00AC4F6C" w:rsidP="00AC4F6C">
            <w:pPr>
              <w:numPr>
                <w:ilvl w:val="0"/>
                <w:numId w:val="1"/>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Effectue toutes autres tâches administratives demandées.</w:t>
            </w:r>
          </w:p>
          <w:p w:rsidR="00AC4F6C" w:rsidRPr="00AC4F6C" w:rsidRDefault="00AC4F6C" w:rsidP="00AC4F6C">
            <w:pPr>
              <w:spacing w:after="264" w:line="336" w:lineRule="atLeast"/>
              <w:jc w:val="both"/>
              <w:rPr>
                <w:rFonts w:ascii="Open Sans" w:eastAsia="Times New Roman" w:hAnsi="Open Sans" w:cs="Helvetica"/>
                <w:color w:val="3A3C3D"/>
                <w:sz w:val="24"/>
                <w:szCs w:val="24"/>
                <w:lang w:eastAsia="fr-CA"/>
              </w:rPr>
            </w:pPr>
            <w:r w:rsidRPr="00AC4F6C">
              <w:rPr>
                <w:rFonts w:ascii="Open Sans" w:eastAsia="Times New Roman" w:hAnsi="Open Sans" w:cs="Helvetica"/>
                <w:b/>
                <w:bCs/>
                <w:color w:val="3A3C3D"/>
                <w:sz w:val="24"/>
                <w:szCs w:val="24"/>
                <w:lang w:eastAsia="fr-CA"/>
              </w:rPr>
              <w:t>Exigences :</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Diplôme d’études professionnelles en comptabilité ou expérience équivalente;</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lastRenderedPageBreak/>
              <w:t>1 à 2 années d’expérience pertinente;</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Connaissance des chiffriers, particulièrement Excel;</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 xml:space="preserve">Connaissance </w:t>
            </w:r>
            <w:proofErr w:type="gramStart"/>
            <w:r w:rsidRPr="00AC4F6C">
              <w:rPr>
                <w:rFonts w:ascii="Open Sans" w:eastAsia="Times New Roman" w:hAnsi="Open Sans" w:cs="Helvetica"/>
                <w:color w:val="3A3C3D"/>
                <w:sz w:val="24"/>
                <w:szCs w:val="24"/>
                <w:lang w:eastAsia="fr-CA"/>
              </w:rPr>
              <w:t>de Outlook</w:t>
            </w:r>
            <w:proofErr w:type="gramEnd"/>
            <w:r w:rsidRPr="00AC4F6C">
              <w:rPr>
                <w:rFonts w:ascii="Open Sans" w:eastAsia="Times New Roman" w:hAnsi="Open Sans" w:cs="Helvetica"/>
                <w:color w:val="3A3C3D"/>
                <w:sz w:val="24"/>
                <w:szCs w:val="24"/>
                <w:lang w:eastAsia="fr-CA"/>
              </w:rPr>
              <w:t>;</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Connaissance générale des logiciels comptables, modules clients, facturation;</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Expérience avec un logiciel ERP intégré, particulièrement Microsoft Dynamics AX (atout);</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Expérience en facturation (atout);</w:t>
            </w:r>
          </w:p>
          <w:p w:rsidR="00AC4F6C" w:rsidRPr="00AC4F6C" w:rsidRDefault="00AC4F6C" w:rsidP="00AC4F6C">
            <w:pPr>
              <w:numPr>
                <w:ilvl w:val="0"/>
                <w:numId w:val="2"/>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b/>
                <w:bCs/>
                <w:color w:val="3A3C3D"/>
                <w:sz w:val="24"/>
                <w:szCs w:val="24"/>
                <w:lang w:eastAsia="fr-CA"/>
              </w:rPr>
              <w:t>Bilinguisme exigé - maîtrise parfaite de l’anglais et du français.</w:t>
            </w:r>
          </w:p>
          <w:p w:rsidR="00AC4F6C" w:rsidRPr="00AC4F6C" w:rsidRDefault="00AC4F6C" w:rsidP="00AC4F6C">
            <w:pPr>
              <w:spacing w:after="264" w:line="336" w:lineRule="atLeast"/>
              <w:jc w:val="both"/>
              <w:rPr>
                <w:rFonts w:ascii="Open Sans" w:eastAsia="Times New Roman" w:hAnsi="Open Sans" w:cs="Helvetica"/>
                <w:color w:val="3A3C3D"/>
                <w:sz w:val="24"/>
                <w:szCs w:val="24"/>
                <w:lang w:eastAsia="fr-CA"/>
              </w:rPr>
            </w:pPr>
            <w:r w:rsidRPr="00AC4F6C">
              <w:rPr>
                <w:rFonts w:ascii="Open Sans" w:eastAsia="Times New Roman" w:hAnsi="Open Sans" w:cs="Helvetica"/>
                <w:b/>
                <w:bCs/>
                <w:color w:val="3A3C3D"/>
                <w:sz w:val="24"/>
                <w:szCs w:val="24"/>
                <w:lang w:eastAsia="fr-CA"/>
              </w:rPr>
              <w:t> Habiletés :</w:t>
            </w:r>
          </w:p>
          <w:p w:rsidR="00AC4F6C" w:rsidRPr="00AC4F6C" w:rsidRDefault="00AC4F6C" w:rsidP="00AC4F6C">
            <w:pPr>
              <w:numPr>
                <w:ilvl w:val="0"/>
                <w:numId w:val="3"/>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Habileté à planifier et respecter des échéanciers de travail.</w:t>
            </w:r>
          </w:p>
          <w:p w:rsidR="00AC4F6C" w:rsidRPr="00AC4F6C" w:rsidRDefault="00AC4F6C" w:rsidP="00AC4F6C">
            <w:pPr>
              <w:numPr>
                <w:ilvl w:val="0"/>
                <w:numId w:val="3"/>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Habileté à communiquer et travailler avec une équipe à distance </w:t>
            </w:r>
          </w:p>
          <w:p w:rsidR="00AC4F6C" w:rsidRPr="00AC4F6C" w:rsidRDefault="00AC4F6C" w:rsidP="00AC4F6C">
            <w:pPr>
              <w:numPr>
                <w:ilvl w:val="0"/>
                <w:numId w:val="3"/>
              </w:numPr>
              <w:spacing w:before="100" w:beforeAutospacing="1" w:after="120" w:line="336" w:lineRule="atLeast"/>
              <w:ind w:left="750"/>
              <w:jc w:val="both"/>
              <w:rPr>
                <w:rFonts w:ascii="Open Sans" w:eastAsia="Times New Roman" w:hAnsi="Open Sans" w:cs="Helvetica"/>
                <w:color w:val="3A3C3D"/>
                <w:sz w:val="24"/>
                <w:szCs w:val="24"/>
                <w:lang w:eastAsia="fr-CA"/>
              </w:rPr>
            </w:pPr>
            <w:r w:rsidRPr="00AC4F6C">
              <w:rPr>
                <w:rFonts w:ascii="Open Sans" w:eastAsia="Times New Roman" w:hAnsi="Open Sans" w:cs="Helvetica"/>
                <w:color w:val="3A3C3D"/>
                <w:sz w:val="24"/>
                <w:szCs w:val="24"/>
                <w:lang w:eastAsia="fr-CA"/>
              </w:rPr>
              <w:t>Habileté à apprendre rapidement.</w:t>
            </w:r>
          </w:p>
          <w:p w:rsidR="00AC4F6C" w:rsidRPr="00AC4F6C" w:rsidRDefault="00AC4F6C" w:rsidP="00AC4F6C">
            <w:pPr>
              <w:spacing w:after="264" w:line="336" w:lineRule="atLeast"/>
              <w:jc w:val="both"/>
              <w:rPr>
                <w:rFonts w:ascii="Open Sans" w:eastAsia="Times New Roman" w:hAnsi="Open Sans" w:cs="Helvetica"/>
                <w:color w:val="3A3C3D"/>
                <w:sz w:val="24"/>
                <w:szCs w:val="24"/>
                <w:lang w:eastAsia="fr-CA"/>
              </w:rPr>
            </w:pPr>
            <w:r w:rsidRPr="00AC4F6C">
              <w:rPr>
                <w:rFonts w:ascii="Open Sans" w:eastAsia="Times New Roman" w:hAnsi="Open Sans" w:cs="Helvetica"/>
                <w:i/>
                <w:iCs/>
                <w:color w:val="3A3C3D"/>
                <w:sz w:val="24"/>
                <w:szCs w:val="24"/>
                <w:lang w:eastAsia="fr-CA"/>
              </w:rPr>
              <w:t>ACCEO Solutions souscrit au principe de l’égalité des chances et ne fera preuve d’aucune discrimination contre un employé ou un candidat sur la base de l’âge, la couleur de peau, le handicap, le genre, l’origine ethnique ou linguistique, la race, la religion, l’orientation, ou toute autre classification protégée par les lois provinciales ou fédérales.</w:t>
            </w:r>
          </w:p>
        </w:tc>
      </w:tr>
    </w:tbl>
    <w:p w:rsidR="00DD361B" w:rsidRDefault="00DD361B">
      <w:bookmarkStart w:id="0" w:name="_GoBack"/>
    </w:p>
    <w:bookmarkEnd w:id="0"/>
    <w:p w:rsidR="00AC4F6C" w:rsidRDefault="00AC4F6C"/>
    <w:sectPr w:rsidR="00AC4F6C">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E4" w:rsidRDefault="007F30E4" w:rsidP="00AC4F6C">
      <w:pPr>
        <w:spacing w:after="0" w:line="240" w:lineRule="auto"/>
      </w:pPr>
      <w:r>
        <w:separator/>
      </w:r>
    </w:p>
  </w:endnote>
  <w:endnote w:type="continuationSeparator" w:id="0">
    <w:p w:rsidR="007F30E4" w:rsidRDefault="007F30E4" w:rsidP="00AC4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E4" w:rsidRDefault="007F30E4" w:rsidP="00AC4F6C">
      <w:pPr>
        <w:spacing w:after="0" w:line="240" w:lineRule="auto"/>
      </w:pPr>
      <w:r>
        <w:separator/>
      </w:r>
    </w:p>
  </w:footnote>
  <w:footnote w:type="continuationSeparator" w:id="0">
    <w:p w:rsidR="007F30E4" w:rsidRDefault="007F30E4" w:rsidP="00AC4F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F6C" w:rsidRDefault="00AC4F6C">
    <w:pPr>
      <w:pStyle w:val="En-tte"/>
    </w:pPr>
    <w:r>
      <w:rPr>
        <w:noProof/>
        <w:lang w:eastAsia="fr-CA"/>
      </w:rPr>
      <w:drawing>
        <wp:inline distT="0" distB="0" distL="0" distR="0" wp14:anchorId="17852A08" wp14:editId="47B9F1DC">
          <wp:extent cx="2095500" cy="5810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5500" cy="5810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24D09"/>
    <w:multiLevelType w:val="multilevel"/>
    <w:tmpl w:val="1E8AD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B339EF"/>
    <w:multiLevelType w:val="multilevel"/>
    <w:tmpl w:val="9CEA6D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F4749"/>
    <w:multiLevelType w:val="multilevel"/>
    <w:tmpl w:val="FCF025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6C"/>
    <w:rsid w:val="007F30E4"/>
    <w:rsid w:val="00AC4F6C"/>
    <w:rsid w:val="00DD361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7DD05-5B19-437C-9452-3833F204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AC4F6C"/>
    <w:rPr>
      <w:b/>
      <w:bCs/>
    </w:rPr>
  </w:style>
  <w:style w:type="paragraph" w:styleId="En-tte">
    <w:name w:val="header"/>
    <w:basedOn w:val="Normal"/>
    <w:link w:val="En-tteCar"/>
    <w:uiPriority w:val="99"/>
    <w:unhideWhenUsed/>
    <w:rsid w:val="00AC4F6C"/>
    <w:pPr>
      <w:tabs>
        <w:tab w:val="center" w:pos="4320"/>
        <w:tab w:val="right" w:pos="8640"/>
      </w:tabs>
      <w:spacing w:after="0" w:line="240" w:lineRule="auto"/>
    </w:pPr>
  </w:style>
  <w:style w:type="character" w:customStyle="1" w:styleId="En-tteCar">
    <w:name w:val="En-tête Car"/>
    <w:basedOn w:val="Policepardfaut"/>
    <w:link w:val="En-tte"/>
    <w:uiPriority w:val="99"/>
    <w:rsid w:val="00AC4F6C"/>
  </w:style>
  <w:style w:type="paragraph" w:styleId="Pieddepage">
    <w:name w:val="footer"/>
    <w:basedOn w:val="Normal"/>
    <w:link w:val="PieddepageCar"/>
    <w:uiPriority w:val="99"/>
    <w:unhideWhenUsed/>
    <w:rsid w:val="00AC4F6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C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05696">
      <w:bodyDiv w:val="1"/>
      <w:marLeft w:val="0"/>
      <w:marRight w:val="0"/>
      <w:marTop w:val="0"/>
      <w:marBottom w:val="0"/>
      <w:divBdr>
        <w:top w:val="none" w:sz="0" w:space="0" w:color="auto"/>
        <w:left w:val="none" w:sz="0" w:space="0" w:color="auto"/>
        <w:bottom w:val="none" w:sz="0" w:space="0" w:color="auto"/>
        <w:right w:val="none" w:sz="0" w:space="0" w:color="auto"/>
      </w:divBdr>
      <w:divsChild>
        <w:div w:id="392243460">
          <w:marLeft w:val="0"/>
          <w:marRight w:val="0"/>
          <w:marTop w:val="0"/>
          <w:marBottom w:val="0"/>
          <w:divBdr>
            <w:top w:val="none" w:sz="0" w:space="0" w:color="auto"/>
            <w:left w:val="none" w:sz="0" w:space="0" w:color="auto"/>
            <w:bottom w:val="none" w:sz="0" w:space="0" w:color="auto"/>
            <w:right w:val="none" w:sz="0" w:space="0" w:color="auto"/>
          </w:divBdr>
          <w:divsChild>
            <w:div w:id="1481146367">
              <w:marLeft w:val="0"/>
              <w:marRight w:val="0"/>
              <w:marTop w:val="750"/>
              <w:marBottom w:val="7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1782</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Collège Montmorency</Company>
  <LinksUpToDate>false</LinksUpToDate>
  <CharactersWithSpaces>2102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Deraps, Christina</dc:creator>
  <cp:keywords/>
  <dc:description/>
  <cp:lastModifiedBy>Deraps, Christina</cp:lastModifiedBy>
  <cp:revision>1</cp:revision>
  <dcterms:created xsi:type="dcterms:W3CDTF">2018-03-28T17:46:00Z</dcterms:created>
  <dcterms:modified xsi:type="dcterms:W3CDTF">2018-03-28T17:47:00Z</dcterms:modified>
</cp:coreProperties>
</file>