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473D" w14:textId="6A957BDF" w:rsidR="00B80597" w:rsidRPr="006D7C62" w:rsidRDefault="00480CEF" w:rsidP="0061741E">
      <w:pPr>
        <w:jc w:val="center"/>
        <w:rPr>
          <w:rFonts w:ascii="Cambria" w:hAnsi="Cambria" w:cs="Arial"/>
          <w:b/>
          <w:sz w:val="32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32"/>
          <w:szCs w:val="20"/>
        </w:rPr>
        <w:t xml:space="preserve">Inspecteur en bâtiment - </w:t>
      </w:r>
      <w:r w:rsidR="00035D69">
        <w:rPr>
          <w:rFonts w:ascii="Cambria" w:hAnsi="Cambria" w:cs="Arial"/>
          <w:b/>
          <w:sz w:val="32"/>
          <w:szCs w:val="20"/>
        </w:rPr>
        <w:t>Con</w:t>
      </w:r>
      <w:r w:rsidR="00867847">
        <w:rPr>
          <w:rFonts w:ascii="Cambria" w:hAnsi="Cambria" w:cs="Arial"/>
          <w:b/>
          <w:sz w:val="32"/>
          <w:szCs w:val="20"/>
        </w:rPr>
        <w:t>ciliateur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4293" w:rsidRPr="006D7C62" w14:paraId="30D24832" w14:textId="77777777" w:rsidTr="00CF09BE">
        <w:tc>
          <w:tcPr>
            <w:tcW w:w="8630" w:type="dxa"/>
            <w:tcBorders>
              <w:top w:val="single" w:sz="4" w:space="0" w:color="79BC3F"/>
              <w:left w:val="nil"/>
              <w:bottom w:val="single" w:sz="12" w:space="0" w:color="007943"/>
              <w:right w:val="nil"/>
            </w:tcBorders>
          </w:tcPr>
          <w:p w14:paraId="0789FD6C" w14:textId="637C02AA" w:rsidR="008D1325" w:rsidRPr="002001D6" w:rsidRDefault="008D1325" w:rsidP="00E272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2001D6">
              <w:rPr>
                <w:rFonts w:ascii="Cambria" w:hAnsi="Cambria" w:cs="Arial"/>
                <w:sz w:val="20"/>
                <w:szCs w:val="21"/>
              </w:rPr>
              <w:t>Travailler au sein d’une équipe engagée vous inspire ?</w:t>
            </w:r>
          </w:p>
          <w:p w14:paraId="53CBC80A" w14:textId="77777777" w:rsidR="008D1325" w:rsidRPr="002001D6" w:rsidRDefault="008D1325" w:rsidP="008D132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2001D6">
              <w:rPr>
                <w:rFonts w:ascii="Cambria" w:hAnsi="Cambria" w:cs="Arial"/>
                <w:sz w:val="20"/>
                <w:szCs w:val="21"/>
              </w:rPr>
              <w:t>Agir concrètement et de façon équitable pour assurer le respect des droits des acheteurs de bâtiments résidentiels vous anime ?</w:t>
            </w:r>
          </w:p>
          <w:p w14:paraId="4BC5FD20" w14:textId="77777777" w:rsidR="008D1325" w:rsidRPr="002001D6" w:rsidRDefault="008D1325" w:rsidP="008D132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2001D6">
              <w:rPr>
                <w:rFonts w:ascii="Cambria" w:hAnsi="Cambria" w:cs="Arial"/>
                <w:sz w:val="20"/>
                <w:szCs w:val="21"/>
              </w:rPr>
              <w:t>Contribuer à la réalisation de l’engagement de GCR afin d’améliorer la qualité de la construction résidentielle au Québec vous passionne ?</w:t>
            </w:r>
          </w:p>
          <w:p w14:paraId="6E1F7CF8" w14:textId="77777777" w:rsidR="003A66DB" w:rsidRPr="00CF09BE" w:rsidRDefault="008D1325" w:rsidP="00E272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ambria" w:hAnsi="Cambria" w:cs="Arial"/>
                <w:color w:val="79BC3F"/>
              </w:rPr>
            </w:pPr>
            <w:r w:rsidRPr="002001D6">
              <w:rPr>
                <w:rFonts w:ascii="Cambria" w:hAnsi="Cambria" w:cs="Arial"/>
                <w:sz w:val="20"/>
                <w:szCs w:val="21"/>
              </w:rPr>
              <w:t>Vous êtes un professionnel du domaine de la construction résidentielle et vous possédez de solides habiletés relationnelles ?</w:t>
            </w:r>
          </w:p>
          <w:p w14:paraId="24599B65" w14:textId="77777777" w:rsidR="00CF09BE" w:rsidRDefault="00CF09BE" w:rsidP="00CF09BE">
            <w:pPr>
              <w:pStyle w:val="Paragraphedeliste"/>
              <w:ind w:left="360"/>
              <w:jc w:val="both"/>
              <w:rPr>
                <w:rFonts w:ascii="Cambria" w:hAnsi="Cambria" w:cs="Arial"/>
                <w:color w:val="79BC3F"/>
              </w:rPr>
            </w:pPr>
          </w:p>
          <w:p w14:paraId="6B40D257" w14:textId="11DBB56F" w:rsidR="00CF09BE" w:rsidRPr="00CF09BE" w:rsidRDefault="00CF09BE" w:rsidP="00CF09BE">
            <w:pPr>
              <w:jc w:val="center"/>
              <w:rPr>
                <w:rFonts w:ascii="Cambria" w:hAnsi="Cambria" w:cs="Arial"/>
                <w:sz w:val="18"/>
                <w:szCs w:val="20"/>
              </w:rPr>
            </w:pPr>
            <w:r w:rsidRPr="00E272EC">
              <w:rPr>
                <w:rFonts w:ascii="Cambria" w:hAnsi="Cambria" w:cs="Arial"/>
                <w:smallCaps/>
                <w:sz w:val="24"/>
                <w:szCs w:val="20"/>
              </w:rPr>
              <w:t>Le poste de conciliateur décisionnaire chez GCR est pour vous !</w:t>
            </w:r>
          </w:p>
        </w:tc>
      </w:tr>
    </w:tbl>
    <w:p w14:paraId="15B01B58" w14:textId="77777777" w:rsidR="00CF09BE" w:rsidRDefault="00CF09BE" w:rsidP="00077BD8">
      <w:pPr>
        <w:jc w:val="both"/>
        <w:rPr>
          <w:rFonts w:ascii="Cambria" w:hAnsi="Cambria" w:cs="Arial"/>
          <w:sz w:val="20"/>
          <w:szCs w:val="20"/>
        </w:rPr>
      </w:pPr>
    </w:p>
    <w:p w14:paraId="7EB5838B" w14:textId="24CB3512" w:rsidR="00065F4E" w:rsidRPr="004D0343" w:rsidRDefault="009113C5" w:rsidP="004D0343">
      <w:pPr>
        <w:jc w:val="center"/>
        <w:rPr>
          <w:rFonts w:ascii="Cambria" w:hAnsi="Cambria" w:cs="Arial"/>
          <w:sz w:val="20"/>
          <w:szCs w:val="21"/>
        </w:rPr>
      </w:pPr>
      <w:r w:rsidRPr="004D0343">
        <w:rPr>
          <w:rFonts w:ascii="Cambria" w:hAnsi="Cambria" w:cs="Arial"/>
          <w:sz w:val="20"/>
          <w:szCs w:val="21"/>
        </w:rPr>
        <w:t xml:space="preserve">Garantie </w:t>
      </w:r>
      <w:r w:rsidR="00124601" w:rsidRPr="004D0343">
        <w:rPr>
          <w:rFonts w:ascii="Cambria" w:hAnsi="Cambria" w:cs="Arial"/>
          <w:sz w:val="20"/>
          <w:szCs w:val="21"/>
        </w:rPr>
        <w:t xml:space="preserve">construction résidentielle GCR </w:t>
      </w:r>
      <w:r w:rsidR="005C5005" w:rsidRPr="004D0343">
        <w:rPr>
          <w:rFonts w:ascii="Cambria" w:hAnsi="Cambria" w:cs="Arial"/>
          <w:sz w:val="20"/>
          <w:szCs w:val="21"/>
        </w:rPr>
        <w:t xml:space="preserve">est </w:t>
      </w:r>
      <w:r w:rsidR="00B87126" w:rsidRPr="004D0343">
        <w:rPr>
          <w:rFonts w:ascii="Cambria" w:hAnsi="Cambria" w:cs="Arial"/>
          <w:sz w:val="20"/>
          <w:szCs w:val="21"/>
        </w:rPr>
        <w:t>actuellement</w:t>
      </w:r>
      <w:r w:rsidR="005C5005" w:rsidRPr="004D0343">
        <w:rPr>
          <w:rFonts w:ascii="Cambria" w:hAnsi="Cambria" w:cs="Arial"/>
          <w:sz w:val="20"/>
          <w:szCs w:val="21"/>
        </w:rPr>
        <w:t xml:space="preserve"> </w:t>
      </w:r>
      <w:r w:rsidR="0031595E" w:rsidRPr="004D0343">
        <w:rPr>
          <w:rFonts w:ascii="Cambria" w:hAnsi="Cambria" w:cs="Arial"/>
          <w:sz w:val="20"/>
          <w:szCs w:val="21"/>
        </w:rPr>
        <w:t>à la recherche de membre</w:t>
      </w:r>
      <w:r w:rsidR="0095623E" w:rsidRPr="004D0343">
        <w:rPr>
          <w:rFonts w:ascii="Cambria" w:hAnsi="Cambria" w:cs="Arial"/>
          <w:sz w:val="20"/>
          <w:szCs w:val="21"/>
        </w:rPr>
        <w:t>s</w:t>
      </w:r>
      <w:r w:rsidR="0031595E" w:rsidRPr="004D0343">
        <w:rPr>
          <w:rFonts w:ascii="Cambria" w:hAnsi="Cambria" w:cs="Arial"/>
          <w:sz w:val="20"/>
          <w:szCs w:val="21"/>
        </w:rPr>
        <w:t xml:space="preserve"> de l’ordre des technologues professionnels</w:t>
      </w:r>
      <w:r w:rsidR="0095623E" w:rsidRPr="004D0343">
        <w:rPr>
          <w:rFonts w:ascii="Cambria" w:hAnsi="Cambria" w:cs="Arial"/>
          <w:sz w:val="20"/>
          <w:szCs w:val="21"/>
        </w:rPr>
        <w:t xml:space="preserve"> </w:t>
      </w:r>
      <w:r w:rsidR="0031595E" w:rsidRPr="004D0343">
        <w:rPr>
          <w:rFonts w:ascii="Cambria" w:hAnsi="Cambria" w:cs="Arial"/>
          <w:sz w:val="20"/>
          <w:szCs w:val="21"/>
        </w:rPr>
        <w:t>du Québec</w:t>
      </w:r>
      <w:r w:rsidR="0095623E" w:rsidRPr="004D0343">
        <w:rPr>
          <w:rFonts w:ascii="Cambria" w:hAnsi="Cambria" w:cs="Arial"/>
          <w:sz w:val="20"/>
          <w:szCs w:val="21"/>
        </w:rPr>
        <w:t xml:space="preserve"> avec de l’expérience</w:t>
      </w:r>
      <w:r w:rsidR="0031595E" w:rsidRPr="004D0343">
        <w:rPr>
          <w:rFonts w:ascii="Cambria" w:hAnsi="Cambria" w:cs="Arial"/>
          <w:sz w:val="20"/>
          <w:szCs w:val="21"/>
        </w:rPr>
        <w:t xml:space="preserve"> d</w:t>
      </w:r>
      <w:r w:rsidR="00B65842" w:rsidRPr="004D0343">
        <w:rPr>
          <w:rFonts w:ascii="Cambria" w:hAnsi="Cambria" w:cs="Arial"/>
          <w:sz w:val="20"/>
          <w:szCs w:val="21"/>
        </w:rPr>
        <w:t>ans</w:t>
      </w:r>
      <w:r w:rsidR="0031595E" w:rsidRPr="004D0343">
        <w:rPr>
          <w:rFonts w:ascii="Cambria" w:hAnsi="Cambria" w:cs="Arial"/>
          <w:sz w:val="20"/>
          <w:szCs w:val="21"/>
        </w:rPr>
        <w:t xml:space="preserve"> </w:t>
      </w:r>
      <w:r w:rsidR="00B65842" w:rsidRPr="004D0343">
        <w:rPr>
          <w:rFonts w:ascii="Cambria" w:hAnsi="Cambria" w:cs="Arial"/>
          <w:sz w:val="20"/>
          <w:szCs w:val="21"/>
        </w:rPr>
        <w:t xml:space="preserve">le </w:t>
      </w:r>
      <w:r w:rsidR="0031595E" w:rsidRPr="004D0343">
        <w:rPr>
          <w:rFonts w:ascii="Cambria" w:hAnsi="Cambria" w:cs="Arial"/>
          <w:sz w:val="20"/>
          <w:szCs w:val="21"/>
        </w:rPr>
        <w:t>domaine de la construction résidentielle</w:t>
      </w:r>
      <w:r w:rsidR="00DB0423" w:rsidRPr="004D0343">
        <w:rPr>
          <w:rFonts w:ascii="Cambria" w:hAnsi="Cambria" w:cs="Arial"/>
          <w:sz w:val="20"/>
          <w:szCs w:val="21"/>
        </w:rPr>
        <w:t xml:space="preserve"> </w:t>
      </w:r>
      <w:r w:rsidR="00B65842" w:rsidRPr="004D0343">
        <w:rPr>
          <w:rFonts w:ascii="Cambria" w:hAnsi="Cambria" w:cs="Arial"/>
          <w:sz w:val="20"/>
          <w:szCs w:val="21"/>
        </w:rPr>
        <w:t xml:space="preserve">afin de comblés des </w:t>
      </w:r>
      <w:r w:rsidR="00DB0423" w:rsidRPr="004D0343">
        <w:rPr>
          <w:rFonts w:ascii="Cambria" w:hAnsi="Cambria" w:cs="Arial"/>
          <w:sz w:val="20"/>
          <w:szCs w:val="21"/>
        </w:rPr>
        <w:t>poste</w:t>
      </w:r>
      <w:r w:rsidR="00B65842" w:rsidRPr="004D0343">
        <w:rPr>
          <w:rFonts w:ascii="Cambria" w:hAnsi="Cambria" w:cs="Arial"/>
          <w:sz w:val="20"/>
          <w:szCs w:val="21"/>
        </w:rPr>
        <w:t>s</w:t>
      </w:r>
      <w:r w:rsidR="00DB0423" w:rsidRPr="004D0343">
        <w:rPr>
          <w:rFonts w:ascii="Cambria" w:hAnsi="Cambria" w:cs="Arial"/>
          <w:sz w:val="20"/>
          <w:szCs w:val="21"/>
        </w:rPr>
        <w:t xml:space="preserve"> de conciliateur décisionnaire</w:t>
      </w:r>
      <w:r w:rsidR="00C5396B" w:rsidRPr="004D0343">
        <w:rPr>
          <w:rFonts w:ascii="Cambria" w:hAnsi="Cambria" w:cs="Arial"/>
          <w:sz w:val="20"/>
          <w:szCs w:val="21"/>
        </w:rPr>
        <w:t xml:space="preserve"> aux réclamations</w:t>
      </w:r>
      <w:r w:rsidR="00DB0423" w:rsidRPr="004D0343">
        <w:rPr>
          <w:rFonts w:ascii="Cambria" w:hAnsi="Cambria" w:cs="Arial"/>
          <w:sz w:val="20"/>
          <w:szCs w:val="21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B244C" w14:paraId="2D22EFD8" w14:textId="77777777" w:rsidTr="00C00BEE">
        <w:tc>
          <w:tcPr>
            <w:tcW w:w="8630" w:type="dxa"/>
            <w:tcBorders>
              <w:top w:val="single" w:sz="4" w:space="0" w:color="79BC3F"/>
              <w:left w:val="nil"/>
              <w:bottom w:val="single" w:sz="12" w:space="0" w:color="007943"/>
              <w:right w:val="nil"/>
            </w:tcBorders>
          </w:tcPr>
          <w:p w14:paraId="11275635" w14:textId="57EB4BE6" w:rsidR="00BB244C" w:rsidRDefault="00BB244C" w:rsidP="00077BD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b/>
                <w:szCs w:val="20"/>
              </w:rPr>
              <w:t>Mandat du Conciliateur :</w:t>
            </w:r>
          </w:p>
        </w:tc>
      </w:tr>
      <w:tr w:rsidR="00BB244C" w14:paraId="3A440391" w14:textId="77777777" w:rsidTr="00C00BEE">
        <w:tc>
          <w:tcPr>
            <w:tcW w:w="8630" w:type="dxa"/>
            <w:tcBorders>
              <w:top w:val="single" w:sz="12" w:space="0" w:color="007943"/>
              <w:left w:val="nil"/>
              <w:bottom w:val="nil"/>
              <w:right w:val="nil"/>
            </w:tcBorders>
          </w:tcPr>
          <w:p w14:paraId="3057FAFA" w14:textId="2A5E6656" w:rsidR="00BB244C" w:rsidRPr="00653803" w:rsidRDefault="00BB244C" w:rsidP="00BB244C">
            <w:pPr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1C599B">
              <w:rPr>
                <w:rFonts w:ascii="Cambria" w:hAnsi="Cambria" w:cs="Arial"/>
                <w:sz w:val="20"/>
                <w:szCs w:val="21"/>
              </w:rPr>
              <w:t>À titre de conciliateur décisionnaire, vous serez appelé à travailler avec une équipe dynamique en pleine croissance dont le mandat est de traiter les réclamations dénoncées par les</w:t>
            </w:r>
            <w:r w:rsidR="00653803">
              <w:rPr>
                <w:rFonts w:ascii="Cambria" w:hAnsi="Cambria" w:cs="Arial"/>
                <w:sz w:val="20"/>
                <w:szCs w:val="21"/>
              </w:rPr>
              <w:t xml:space="preserve"> propriétaires de bâtiments neufs</w:t>
            </w:r>
            <w:r w:rsidRPr="001C599B">
              <w:rPr>
                <w:rFonts w:ascii="Cambria" w:hAnsi="Cambria" w:cs="Arial"/>
                <w:sz w:val="20"/>
                <w:szCs w:val="21"/>
              </w:rPr>
              <w:t>. À la suite des visites de conciliation que vous effectuez, vous rendrez des décisions objectives et neutres, appuyées par le code du bâtiment</w:t>
            </w:r>
            <w:r w:rsidR="00D668E2">
              <w:rPr>
                <w:rFonts w:ascii="Cambria" w:hAnsi="Cambria" w:cs="Arial"/>
                <w:sz w:val="20"/>
                <w:szCs w:val="21"/>
              </w:rPr>
              <w:t xml:space="preserve"> </w:t>
            </w:r>
            <w:r w:rsidRPr="001C599B">
              <w:rPr>
                <w:rFonts w:ascii="Cambria" w:hAnsi="Cambria" w:cs="Arial"/>
                <w:sz w:val="20"/>
                <w:szCs w:val="21"/>
              </w:rPr>
              <w:t>et le règlement sur le plan de garantie des bâtiments résidentiels neufs.</w:t>
            </w:r>
            <w:r w:rsidR="00653803">
              <w:rPr>
                <w:rFonts w:ascii="Cambria" w:hAnsi="Cambria" w:cs="Arial"/>
                <w:sz w:val="20"/>
                <w:szCs w:val="21"/>
              </w:rPr>
              <w:t xml:space="preserve"> </w:t>
            </w:r>
            <w:r w:rsidRPr="001C599B">
              <w:rPr>
                <w:rFonts w:ascii="Cambria" w:hAnsi="Cambria" w:cs="Arial"/>
                <w:sz w:val="20"/>
                <w:szCs w:val="21"/>
              </w:rPr>
              <w:t>Vous serez appelé à faire le suivi de vos décisions et d’assurer la conformité des actions correctives qui s’y rattachent.</w:t>
            </w:r>
          </w:p>
        </w:tc>
      </w:tr>
      <w:tr w:rsidR="00BB244C" w14:paraId="47DBDFF1" w14:textId="77777777" w:rsidTr="000F5065">
        <w:tc>
          <w:tcPr>
            <w:tcW w:w="8630" w:type="dxa"/>
            <w:tcBorders>
              <w:top w:val="nil"/>
              <w:left w:val="nil"/>
              <w:bottom w:val="single" w:sz="4" w:space="0" w:color="79BC3F"/>
              <w:right w:val="nil"/>
            </w:tcBorders>
          </w:tcPr>
          <w:p w14:paraId="5E4994BC" w14:textId="77777777" w:rsidR="00BB244C" w:rsidRDefault="00BB244C" w:rsidP="00077BD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B244C" w14:paraId="5EC97789" w14:textId="77777777" w:rsidTr="000F5065">
        <w:tc>
          <w:tcPr>
            <w:tcW w:w="8630" w:type="dxa"/>
            <w:tcBorders>
              <w:top w:val="single" w:sz="4" w:space="0" w:color="79BC3F"/>
              <w:left w:val="nil"/>
              <w:bottom w:val="single" w:sz="12" w:space="0" w:color="007943"/>
              <w:right w:val="nil"/>
            </w:tcBorders>
          </w:tcPr>
          <w:p w14:paraId="592AECC0" w14:textId="0EDA3C9B" w:rsidR="00BB244C" w:rsidRDefault="00A91753" w:rsidP="00077BD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b/>
                <w:szCs w:val="20"/>
              </w:rPr>
              <w:t>Principales responsabilités du Conciliateu</w:t>
            </w:r>
            <w:r w:rsidR="00A85726">
              <w:rPr>
                <w:rFonts w:ascii="Cambria" w:hAnsi="Cambria" w:cs="Arial"/>
                <w:b/>
                <w:szCs w:val="20"/>
              </w:rPr>
              <w:t>r</w:t>
            </w:r>
            <w:r w:rsidRPr="006D7C62">
              <w:rPr>
                <w:rFonts w:ascii="Cambria" w:hAnsi="Cambria" w:cs="Arial"/>
                <w:b/>
                <w:szCs w:val="20"/>
              </w:rPr>
              <w:t> :</w:t>
            </w:r>
          </w:p>
        </w:tc>
      </w:tr>
      <w:tr w:rsidR="00A91753" w14:paraId="5FCD3AA6" w14:textId="77777777" w:rsidTr="000215FF">
        <w:trPr>
          <w:trHeight w:val="1986"/>
        </w:trPr>
        <w:tc>
          <w:tcPr>
            <w:tcW w:w="8630" w:type="dxa"/>
            <w:tcBorders>
              <w:top w:val="single" w:sz="12" w:space="0" w:color="007943"/>
              <w:left w:val="nil"/>
              <w:bottom w:val="nil"/>
              <w:right w:val="nil"/>
            </w:tcBorders>
          </w:tcPr>
          <w:p w14:paraId="41A476FA" w14:textId="77777777" w:rsidR="00A91753" w:rsidRPr="001C599B" w:rsidRDefault="00A91753" w:rsidP="00A91753">
            <w:pPr>
              <w:spacing w:before="20"/>
              <w:rPr>
                <w:rFonts w:ascii="Cambria" w:hAnsi="Cambria" w:cs="Arial"/>
                <w:b/>
                <w:sz w:val="20"/>
                <w:szCs w:val="21"/>
                <w:u w:val="single"/>
              </w:rPr>
            </w:pPr>
            <w:r w:rsidRPr="001C599B">
              <w:rPr>
                <w:rFonts w:ascii="Cambria" w:hAnsi="Cambria" w:cs="Arial"/>
                <w:b/>
                <w:sz w:val="20"/>
                <w:szCs w:val="21"/>
                <w:u w:val="single"/>
              </w:rPr>
              <w:t>Analyse des réclamations</w:t>
            </w:r>
          </w:p>
          <w:p w14:paraId="5D752478" w14:textId="77777777" w:rsidR="00A91753" w:rsidRPr="001C599B" w:rsidRDefault="00A91753" w:rsidP="00A91753">
            <w:pPr>
              <w:pStyle w:val="Paragraphedeliste"/>
              <w:numPr>
                <w:ilvl w:val="0"/>
                <w:numId w:val="2"/>
              </w:numPr>
              <w:spacing w:before="20" w:line="312" w:lineRule="auto"/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1C599B">
              <w:rPr>
                <w:rFonts w:ascii="Cambria" w:hAnsi="Cambria" w:cs="Arial"/>
                <w:sz w:val="20"/>
                <w:szCs w:val="21"/>
              </w:rPr>
              <w:t>Analyser toutes documentations obtenues des parties concernées ou issues de ses recherches lors de son inspection;</w:t>
            </w:r>
          </w:p>
          <w:p w14:paraId="7204ECA7" w14:textId="77777777" w:rsidR="00A91753" w:rsidRPr="001C599B" w:rsidRDefault="00A91753" w:rsidP="00A91753">
            <w:pPr>
              <w:pStyle w:val="Paragraphedeliste"/>
              <w:numPr>
                <w:ilvl w:val="0"/>
                <w:numId w:val="2"/>
              </w:numPr>
              <w:spacing w:before="20" w:line="312" w:lineRule="auto"/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1C599B">
              <w:rPr>
                <w:rFonts w:ascii="Cambria" w:hAnsi="Cambria" w:cs="Arial"/>
                <w:sz w:val="20"/>
                <w:szCs w:val="21"/>
              </w:rPr>
              <w:t>Examiner chaque point de réclamation afin d’identifier la source du problème et les risques inhérents;</w:t>
            </w:r>
          </w:p>
          <w:p w14:paraId="41F7B36F" w14:textId="77777777" w:rsidR="00A91753" w:rsidRPr="001C599B" w:rsidRDefault="00A91753" w:rsidP="00A91753">
            <w:pPr>
              <w:pStyle w:val="Paragraphedeliste"/>
              <w:numPr>
                <w:ilvl w:val="0"/>
                <w:numId w:val="2"/>
              </w:numPr>
              <w:spacing w:before="20" w:line="312" w:lineRule="auto"/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1C599B">
              <w:rPr>
                <w:rFonts w:ascii="Cambria" w:hAnsi="Cambria" w:cs="Arial"/>
                <w:sz w:val="20"/>
                <w:szCs w:val="21"/>
              </w:rPr>
              <w:t>Analyser les risques financiers liés à la réclamation et prendre les mesures appropriées.</w:t>
            </w:r>
          </w:p>
          <w:p w14:paraId="56AB9166" w14:textId="77777777" w:rsidR="00A91753" w:rsidRPr="001C599B" w:rsidRDefault="00A91753" w:rsidP="00A91753">
            <w:pPr>
              <w:spacing w:before="20"/>
              <w:jc w:val="both"/>
              <w:rPr>
                <w:rFonts w:ascii="Cambria" w:hAnsi="Cambria" w:cs="Arial"/>
                <w:b/>
                <w:sz w:val="20"/>
                <w:szCs w:val="21"/>
                <w:u w:val="single"/>
              </w:rPr>
            </w:pPr>
            <w:r w:rsidRPr="001C599B">
              <w:rPr>
                <w:rFonts w:ascii="Cambria" w:hAnsi="Cambria" w:cs="Arial"/>
                <w:b/>
                <w:sz w:val="20"/>
                <w:szCs w:val="21"/>
                <w:u w:val="single"/>
              </w:rPr>
              <w:t>Préparation des décisions</w:t>
            </w:r>
          </w:p>
          <w:p w14:paraId="273B4CE9" w14:textId="77777777" w:rsidR="008B6DFE" w:rsidRPr="008B6DFE" w:rsidRDefault="00A91753" w:rsidP="004606FE">
            <w:pPr>
              <w:pStyle w:val="Paragraphedeliste"/>
              <w:numPr>
                <w:ilvl w:val="0"/>
                <w:numId w:val="2"/>
              </w:numPr>
              <w:spacing w:before="20" w:line="312" w:lineRule="auto"/>
              <w:jc w:val="both"/>
              <w:rPr>
                <w:rFonts w:ascii="Cambria" w:hAnsi="Cambria" w:cs="Arial"/>
                <w:b/>
                <w:sz w:val="20"/>
                <w:szCs w:val="21"/>
                <w:u w:val="single"/>
              </w:rPr>
            </w:pPr>
            <w:r w:rsidRPr="008B6DFE">
              <w:rPr>
                <w:rFonts w:ascii="Cambria" w:hAnsi="Cambria" w:cs="Arial"/>
                <w:sz w:val="20"/>
                <w:szCs w:val="21"/>
              </w:rPr>
              <w:t>Rédiger des décisions claires, concises et en toute impartialité sur la base de l’information disponible</w:t>
            </w:r>
            <w:r w:rsidR="008B6DFE" w:rsidRPr="008B6DFE">
              <w:rPr>
                <w:rFonts w:ascii="Cambria" w:hAnsi="Cambria" w:cs="Arial"/>
                <w:sz w:val="20"/>
                <w:szCs w:val="21"/>
              </w:rPr>
              <w:t xml:space="preserve"> et en conformité avec le</w:t>
            </w:r>
            <w:r w:rsidRPr="008B6DFE">
              <w:rPr>
                <w:rFonts w:ascii="Cambria" w:hAnsi="Cambria" w:cs="Arial"/>
                <w:sz w:val="20"/>
                <w:szCs w:val="21"/>
              </w:rPr>
              <w:t xml:space="preserve"> Règlement sur le plan de garantie des bâtiments résidentiels neufs</w:t>
            </w:r>
            <w:r w:rsidR="008B6DFE">
              <w:rPr>
                <w:rFonts w:ascii="Cambria" w:hAnsi="Cambria" w:cs="Arial"/>
                <w:sz w:val="20"/>
                <w:szCs w:val="21"/>
              </w:rPr>
              <w:t>.</w:t>
            </w:r>
          </w:p>
          <w:p w14:paraId="08ED2214" w14:textId="1E97238B" w:rsidR="00A91753" w:rsidRPr="008B6DFE" w:rsidRDefault="00A91753" w:rsidP="008B6DFE">
            <w:pPr>
              <w:spacing w:before="20" w:line="312" w:lineRule="auto"/>
              <w:jc w:val="both"/>
              <w:rPr>
                <w:rFonts w:ascii="Cambria" w:hAnsi="Cambria" w:cs="Arial"/>
                <w:b/>
                <w:sz w:val="20"/>
                <w:szCs w:val="21"/>
                <w:u w:val="single"/>
              </w:rPr>
            </w:pPr>
            <w:r w:rsidRPr="008B6DFE">
              <w:rPr>
                <w:rFonts w:ascii="Cambria" w:hAnsi="Cambria" w:cs="Arial"/>
                <w:b/>
                <w:sz w:val="20"/>
                <w:szCs w:val="21"/>
                <w:u w:val="single"/>
              </w:rPr>
              <w:t>Prise en charge des actions correctives</w:t>
            </w:r>
          </w:p>
          <w:p w14:paraId="0C4121F3" w14:textId="77777777" w:rsidR="00A91753" w:rsidRPr="001C599B" w:rsidRDefault="00A91753" w:rsidP="00A91753">
            <w:pPr>
              <w:pStyle w:val="Paragraphedeliste"/>
              <w:numPr>
                <w:ilvl w:val="0"/>
                <w:numId w:val="2"/>
              </w:numPr>
              <w:spacing w:before="20" w:line="312" w:lineRule="auto"/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1C599B">
              <w:rPr>
                <w:rFonts w:ascii="Cambria" w:hAnsi="Cambria" w:cs="Arial"/>
                <w:sz w:val="20"/>
                <w:szCs w:val="21"/>
              </w:rPr>
              <w:t xml:space="preserve">Effectuer le suivi de ses décisions; </w:t>
            </w:r>
          </w:p>
          <w:p w14:paraId="39C02219" w14:textId="77777777" w:rsidR="00A91753" w:rsidRPr="001C599B" w:rsidRDefault="00A91753" w:rsidP="00A91753">
            <w:pPr>
              <w:pStyle w:val="Paragraphedeliste"/>
              <w:numPr>
                <w:ilvl w:val="0"/>
                <w:numId w:val="2"/>
              </w:numPr>
              <w:spacing w:before="20" w:line="312" w:lineRule="auto"/>
              <w:jc w:val="both"/>
              <w:rPr>
                <w:rFonts w:ascii="Cambria" w:hAnsi="Cambria" w:cs="Arial"/>
                <w:sz w:val="20"/>
                <w:szCs w:val="21"/>
              </w:rPr>
            </w:pPr>
            <w:r w:rsidRPr="001C599B">
              <w:rPr>
                <w:rFonts w:ascii="Cambria" w:hAnsi="Cambria" w:cs="Arial"/>
                <w:sz w:val="20"/>
                <w:szCs w:val="21"/>
              </w:rPr>
              <w:t>Assurer l’intervention de l’entrepreneur pour le remboursement des montants dus et pour la réalisation des travaux correctifs et de parachèvement;</w:t>
            </w:r>
          </w:p>
          <w:p w14:paraId="71FBB149" w14:textId="76CCEAAB" w:rsidR="00C00BEE" w:rsidRPr="00C00BEE" w:rsidRDefault="00A91753" w:rsidP="00C00BEE">
            <w:pPr>
              <w:pStyle w:val="Paragraphedeliste"/>
              <w:numPr>
                <w:ilvl w:val="0"/>
                <w:numId w:val="2"/>
              </w:numPr>
              <w:spacing w:before="20" w:line="312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1C599B">
              <w:rPr>
                <w:rFonts w:ascii="Cambria" w:hAnsi="Cambria" w:cs="Arial"/>
                <w:sz w:val="20"/>
                <w:szCs w:val="21"/>
              </w:rPr>
              <w:t xml:space="preserve">Ordonner la prise en charge des travaux par GCR lorsque nécessaire. </w:t>
            </w:r>
          </w:p>
        </w:tc>
      </w:tr>
    </w:tbl>
    <w:p w14:paraId="4A661A87" w14:textId="6404A9DE" w:rsidR="008D2CA2" w:rsidRDefault="008D2CA2" w:rsidP="00B737DB">
      <w:pPr>
        <w:pStyle w:val="NormalWeb"/>
        <w:spacing w:before="0" w:beforeAutospacing="0" w:after="0" w:afterAutospacing="0" w:line="390" w:lineRule="atLeast"/>
        <w:jc w:val="both"/>
        <w:textAlignment w:val="baseline"/>
        <w:rPr>
          <w:rFonts w:ascii="Cambria" w:hAnsi="Cambria" w:cs="Arial"/>
          <w:sz w:val="20"/>
          <w:szCs w:val="20"/>
        </w:rPr>
      </w:pPr>
    </w:p>
    <w:p w14:paraId="21F58AFC" w14:textId="77777777" w:rsidR="006D1424" w:rsidRDefault="006D1424" w:rsidP="00B737DB">
      <w:pPr>
        <w:pStyle w:val="NormalWeb"/>
        <w:spacing w:before="0" w:beforeAutospacing="0" w:after="0" w:afterAutospacing="0" w:line="390" w:lineRule="atLeast"/>
        <w:jc w:val="both"/>
        <w:textAlignment w:val="baseline"/>
        <w:rPr>
          <w:rFonts w:ascii="Cambria" w:hAnsi="Cambria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F5065" w14:paraId="0351E8B6" w14:textId="77777777" w:rsidTr="000F5065">
        <w:tc>
          <w:tcPr>
            <w:tcW w:w="8630" w:type="dxa"/>
            <w:tcBorders>
              <w:top w:val="single" w:sz="4" w:space="0" w:color="79BC3F"/>
              <w:left w:val="nil"/>
              <w:bottom w:val="single" w:sz="12" w:space="0" w:color="007943"/>
              <w:right w:val="nil"/>
            </w:tcBorders>
          </w:tcPr>
          <w:p w14:paraId="1082C1CF" w14:textId="77777777" w:rsidR="000F5065" w:rsidRDefault="000F5065" w:rsidP="000F5065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b/>
                <w:szCs w:val="20"/>
              </w:rPr>
              <w:lastRenderedPageBreak/>
              <w:t>Profil recherché :</w:t>
            </w:r>
          </w:p>
        </w:tc>
      </w:tr>
      <w:tr w:rsidR="000F5065" w14:paraId="071B9232" w14:textId="77777777" w:rsidTr="000F5065">
        <w:tc>
          <w:tcPr>
            <w:tcW w:w="8630" w:type="dxa"/>
            <w:tcBorders>
              <w:top w:val="single" w:sz="12" w:space="0" w:color="007943"/>
              <w:left w:val="nil"/>
              <w:bottom w:val="nil"/>
              <w:right w:val="nil"/>
            </w:tcBorders>
          </w:tcPr>
          <w:p w14:paraId="78593EAB" w14:textId="60707015" w:rsidR="000F5065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DEC en technique du bâtiment, génie civil, architecture ou dans tous autres domaines connexes;</w:t>
            </w:r>
          </w:p>
          <w:p w14:paraId="5488C951" w14:textId="22AE6BC0" w:rsidR="006D1424" w:rsidRPr="006D7C62" w:rsidRDefault="002708D8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 à 10 ans d’expérience dans le domaine de la construction résidentielle;</w:t>
            </w:r>
          </w:p>
          <w:p w14:paraId="12C61AF1" w14:textId="77777777" w:rsidR="000F5065" w:rsidRPr="006D7C62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Membre de l’Ordre des technologues professionnels du Québec, de l’Ordre des architectes de Québec ou de l’Ordre des ingénieurs du Québec;</w:t>
            </w:r>
          </w:p>
          <w:p w14:paraId="55043A7C" w14:textId="7641C5ED" w:rsidR="000F5065" w:rsidRPr="006D7C62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Excellente</w:t>
            </w:r>
            <w:r w:rsidR="00A65963">
              <w:rPr>
                <w:rFonts w:ascii="Cambria" w:hAnsi="Cambria" w:cs="Arial"/>
                <w:sz w:val="20"/>
                <w:szCs w:val="20"/>
              </w:rPr>
              <w:t>s</w:t>
            </w:r>
            <w:r w:rsidRPr="006D7C62">
              <w:rPr>
                <w:rFonts w:ascii="Cambria" w:hAnsi="Cambria" w:cs="Arial"/>
                <w:sz w:val="20"/>
                <w:szCs w:val="20"/>
              </w:rPr>
              <w:t xml:space="preserve"> habileté</w:t>
            </w:r>
            <w:r w:rsidR="00A65963">
              <w:rPr>
                <w:rFonts w:ascii="Cambria" w:hAnsi="Cambria" w:cs="Arial"/>
                <w:sz w:val="20"/>
                <w:szCs w:val="20"/>
              </w:rPr>
              <w:t>s</w:t>
            </w:r>
            <w:r w:rsidRPr="006D7C62">
              <w:rPr>
                <w:rFonts w:ascii="Cambria" w:hAnsi="Cambria" w:cs="Arial"/>
                <w:sz w:val="20"/>
                <w:szCs w:val="20"/>
              </w:rPr>
              <w:t xml:space="preserve"> en médiation;</w:t>
            </w:r>
          </w:p>
          <w:p w14:paraId="1E4483F6" w14:textId="77777777" w:rsidR="000F5065" w:rsidRPr="006D7C62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Excellent sens du service à la clientèle;</w:t>
            </w:r>
          </w:p>
          <w:p w14:paraId="458730D6" w14:textId="77777777" w:rsidR="000F5065" w:rsidRPr="006D7C62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Bonne connaissance de la suite Microsoft et de différents logiciels en bureautique;</w:t>
            </w:r>
          </w:p>
          <w:p w14:paraId="6E694B9E" w14:textId="77777777" w:rsidR="000F5065" w:rsidRPr="006D7C62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Très bonne qualité du français parlé et écrit;</w:t>
            </w:r>
          </w:p>
          <w:p w14:paraId="4C07FA15" w14:textId="77777777" w:rsidR="000F5065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Connaissance fonctionnelle de l’anglais (un atout);</w:t>
            </w:r>
          </w:p>
          <w:p w14:paraId="4BBF5B3A" w14:textId="0E4F13AC" w:rsidR="000F5065" w:rsidRPr="000F5065" w:rsidRDefault="000F5065" w:rsidP="000F5065">
            <w:pPr>
              <w:pStyle w:val="Paragraphedeliste"/>
              <w:numPr>
                <w:ilvl w:val="0"/>
                <w:numId w:val="3"/>
              </w:numPr>
              <w:spacing w:before="20" w:line="312" w:lineRule="auto"/>
              <w:rPr>
                <w:rFonts w:ascii="Cambria" w:hAnsi="Cambria" w:cs="Arial"/>
                <w:sz w:val="20"/>
                <w:szCs w:val="20"/>
              </w:rPr>
            </w:pPr>
            <w:r w:rsidRPr="000F5065">
              <w:rPr>
                <w:rFonts w:ascii="Cambria" w:hAnsi="Cambria" w:cs="Arial"/>
                <w:sz w:val="20"/>
                <w:szCs w:val="20"/>
              </w:rPr>
              <w:t>Posséder un véhicule et être disponible pour de fréquents déplacements</w:t>
            </w:r>
            <w:r w:rsidR="00A65963">
              <w:rPr>
                <w:rFonts w:ascii="Cambria" w:hAnsi="Cambria" w:cs="Arial"/>
                <w:sz w:val="20"/>
                <w:szCs w:val="20"/>
              </w:rPr>
              <w:t xml:space="preserve"> et détenir un permis de conduire valide.</w:t>
            </w:r>
          </w:p>
        </w:tc>
      </w:tr>
      <w:tr w:rsidR="000F5065" w14:paraId="4EA3CF14" w14:textId="77777777" w:rsidTr="000F5065">
        <w:tc>
          <w:tcPr>
            <w:tcW w:w="8630" w:type="dxa"/>
            <w:tcBorders>
              <w:top w:val="nil"/>
              <w:left w:val="nil"/>
              <w:bottom w:val="single" w:sz="4" w:space="0" w:color="79BC3F"/>
              <w:right w:val="nil"/>
            </w:tcBorders>
          </w:tcPr>
          <w:p w14:paraId="47C43EA3" w14:textId="77777777" w:rsidR="000F5065" w:rsidRDefault="000F5065" w:rsidP="000F5065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F5065" w14:paraId="67B30DE9" w14:textId="77777777" w:rsidTr="000F5065">
        <w:tc>
          <w:tcPr>
            <w:tcW w:w="8630" w:type="dxa"/>
            <w:tcBorders>
              <w:top w:val="single" w:sz="4" w:space="0" w:color="79BC3F"/>
              <w:left w:val="nil"/>
              <w:bottom w:val="single" w:sz="12" w:space="0" w:color="007943"/>
              <w:right w:val="nil"/>
            </w:tcBorders>
          </w:tcPr>
          <w:p w14:paraId="7D4C0043" w14:textId="77777777" w:rsidR="000F5065" w:rsidRDefault="000F5065" w:rsidP="000F5065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b/>
                <w:szCs w:val="20"/>
              </w:rPr>
              <w:t>À propos de GCR</w:t>
            </w:r>
          </w:p>
        </w:tc>
      </w:tr>
      <w:tr w:rsidR="000F5065" w14:paraId="1BE3B2C9" w14:textId="77777777" w:rsidTr="0037558A">
        <w:trPr>
          <w:trHeight w:val="592"/>
        </w:trPr>
        <w:tc>
          <w:tcPr>
            <w:tcW w:w="8630" w:type="dxa"/>
            <w:tcBorders>
              <w:top w:val="single" w:sz="12" w:space="0" w:color="007943"/>
              <w:left w:val="nil"/>
              <w:bottom w:val="nil"/>
              <w:right w:val="nil"/>
            </w:tcBorders>
          </w:tcPr>
          <w:p w14:paraId="5B29A259" w14:textId="77777777" w:rsidR="000F5065" w:rsidRPr="006D7C62" w:rsidRDefault="000F5065" w:rsidP="000F5065">
            <w:pPr>
              <w:pStyle w:val="NormalWeb"/>
              <w:spacing w:before="0" w:beforeAutospacing="0" w:after="0" w:afterAutospacing="0" w:line="390" w:lineRule="atLeast"/>
              <w:jc w:val="both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Garantie construction résidentielle (GCR) est un organisme qui a pour mandat d’administrer le Plan de garantie des bâtiments résidentiels neufs pour l’ensemble du territoire québécois.</w:t>
            </w:r>
          </w:p>
          <w:p w14:paraId="67461017" w14:textId="77777777" w:rsidR="000F5065" w:rsidRPr="006D7C62" w:rsidRDefault="000F5065" w:rsidP="000F5065">
            <w:pPr>
              <w:pStyle w:val="NormalWeb"/>
              <w:spacing w:before="0" w:beforeAutospacing="0" w:after="0" w:afterAutospacing="0" w:line="390" w:lineRule="atLeast"/>
              <w:jc w:val="both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6D7C62">
              <w:rPr>
                <w:rFonts w:ascii="Cambria" w:hAnsi="Cambria" w:cs="Arial"/>
                <w:sz w:val="20"/>
                <w:szCs w:val="20"/>
              </w:rPr>
              <w:t>Au-delà de cette mission, GCR agit concrètement pour l’amélioration de la qualité de la construction résidentielle.</w:t>
            </w:r>
          </w:p>
          <w:p w14:paraId="05E42171" w14:textId="77777777" w:rsidR="000F5065" w:rsidRDefault="000F5065" w:rsidP="000F5065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6C4E254" w14:textId="77777777" w:rsidR="002A0B76" w:rsidRPr="006D7C62" w:rsidRDefault="002A0B76" w:rsidP="00B737DB">
      <w:pPr>
        <w:pStyle w:val="NormalWeb"/>
        <w:spacing w:before="0" w:beforeAutospacing="0" w:after="0" w:afterAutospacing="0" w:line="390" w:lineRule="atLeast"/>
        <w:jc w:val="both"/>
        <w:textAlignment w:val="baseline"/>
        <w:rPr>
          <w:rFonts w:ascii="Cambria" w:hAnsi="Cambria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D2CA2" w:rsidRPr="006D7C62" w14:paraId="74DA8622" w14:textId="77777777" w:rsidTr="008D2CA2">
        <w:tc>
          <w:tcPr>
            <w:tcW w:w="8630" w:type="dxa"/>
            <w:tcBorders>
              <w:bottom w:val="nil"/>
            </w:tcBorders>
          </w:tcPr>
          <w:p w14:paraId="4A1491F9" w14:textId="77777777" w:rsidR="008D2CA2" w:rsidRPr="00854AD6" w:rsidRDefault="008D2CA2" w:rsidP="008D2CA2">
            <w:pPr>
              <w:rPr>
                <w:rFonts w:ascii="Cambria" w:hAnsi="Cambria"/>
                <w:b/>
              </w:rPr>
            </w:pPr>
            <w:r w:rsidRPr="00854AD6">
              <w:rPr>
                <w:rFonts w:ascii="Cambria" w:hAnsi="Cambria"/>
                <w:b/>
              </w:rPr>
              <w:t xml:space="preserve">Type d’emploi : </w:t>
            </w:r>
            <w:r w:rsidRPr="00854AD6">
              <w:rPr>
                <w:rFonts w:ascii="Cambria" w:hAnsi="Cambria"/>
              </w:rPr>
              <w:t>Temps plein, permanent</w:t>
            </w:r>
          </w:p>
          <w:p w14:paraId="1230CAA3" w14:textId="77777777" w:rsidR="008D2CA2" w:rsidRPr="006D7C62" w:rsidRDefault="008D2CA2" w:rsidP="008D2CA2">
            <w:pPr>
              <w:rPr>
                <w:rFonts w:ascii="Cambria" w:hAnsi="Cambria"/>
                <w:i/>
              </w:rPr>
            </w:pPr>
          </w:p>
        </w:tc>
      </w:tr>
      <w:tr w:rsidR="008D2CA2" w:rsidRPr="006D7C62" w14:paraId="70257A75" w14:textId="77777777" w:rsidTr="008D2CA2">
        <w:tc>
          <w:tcPr>
            <w:tcW w:w="8630" w:type="dxa"/>
            <w:tcBorders>
              <w:top w:val="nil"/>
              <w:bottom w:val="nil"/>
            </w:tcBorders>
          </w:tcPr>
          <w:p w14:paraId="7E58CC05" w14:textId="77777777" w:rsidR="008D2CA2" w:rsidRPr="006D7C62" w:rsidRDefault="008D2CA2" w:rsidP="008D2CA2">
            <w:pPr>
              <w:rPr>
                <w:rFonts w:ascii="Cambria" w:hAnsi="Cambria"/>
              </w:rPr>
            </w:pPr>
            <w:r w:rsidRPr="006D7C62">
              <w:rPr>
                <w:rFonts w:ascii="Cambria" w:hAnsi="Cambria"/>
                <w:b/>
              </w:rPr>
              <w:t>Emplacement principal :</w:t>
            </w:r>
            <w:r w:rsidRPr="006D7C62">
              <w:rPr>
                <w:rFonts w:ascii="Cambria" w:hAnsi="Cambria"/>
              </w:rPr>
              <w:t xml:space="preserve"> Anjou, Montréal </w:t>
            </w:r>
          </w:p>
          <w:p w14:paraId="2F97DDD1" w14:textId="77777777" w:rsidR="008D2CA2" w:rsidRPr="006D7C62" w:rsidRDefault="008D2CA2" w:rsidP="008D2CA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D2CA2" w:rsidRPr="006D7C62" w14:paraId="325B3295" w14:textId="77777777" w:rsidTr="008D2CA2">
        <w:tc>
          <w:tcPr>
            <w:tcW w:w="8630" w:type="dxa"/>
            <w:tcBorders>
              <w:top w:val="nil"/>
              <w:bottom w:val="nil"/>
            </w:tcBorders>
          </w:tcPr>
          <w:p w14:paraId="68D7CB0B" w14:textId="77777777" w:rsidR="008D2CA2" w:rsidRPr="006D7C62" w:rsidRDefault="008D2CA2" w:rsidP="008D2CA2">
            <w:pPr>
              <w:rPr>
                <w:rFonts w:ascii="Cambria" w:hAnsi="Cambria"/>
              </w:rPr>
            </w:pPr>
            <w:r w:rsidRPr="006D7C62">
              <w:rPr>
                <w:rFonts w:ascii="Cambria" w:hAnsi="Cambria"/>
                <w:b/>
              </w:rPr>
              <w:t>Pour postuler :</w:t>
            </w:r>
            <w:r w:rsidRPr="006D7C62">
              <w:rPr>
                <w:rFonts w:ascii="Cambria" w:hAnsi="Cambria"/>
              </w:rPr>
              <w:t xml:space="preserve"> Les personnes intéressées par ce poste sont invitées à postuler dès que possible en faisant parvenir leur CV à l’adresse suivante : rh@garantiegcr.com. Nous vous remercions de votre intérêt. Nous communiquerons seulement avec les candidats retenus pour les autres étapes du processus de sélection. </w:t>
            </w:r>
          </w:p>
          <w:p w14:paraId="39955E9B" w14:textId="77777777" w:rsidR="008D2CA2" w:rsidRPr="006D7C62" w:rsidRDefault="008D2CA2" w:rsidP="008D2CA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D2CA2" w:rsidRPr="006D7C62" w14:paraId="57F57BC0" w14:textId="77777777" w:rsidTr="008D2CA2">
        <w:tc>
          <w:tcPr>
            <w:tcW w:w="8630" w:type="dxa"/>
            <w:tcBorders>
              <w:top w:val="nil"/>
            </w:tcBorders>
          </w:tcPr>
          <w:p w14:paraId="6FB04289" w14:textId="77777777" w:rsidR="008D2CA2" w:rsidRPr="006D7C62" w:rsidRDefault="008D2CA2" w:rsidP="008D2CA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D7C62">
              <w:rPr>
                <w:rFonts w:ascii="Cambria" w:hAnsi="Cambria"/>
                <w:i/>
              </w:rPr>
              <w:t>NOTE : Le masculin est utilisé afin d’alléger le texte et la recherche mais inclue la forme féminine</w:t>
            </w:r>
          </w:p>
        </w:tc>
      </w:tr>
    </w:tbl>
    <w:p w14:paraId="7F9969DC" w14:textId="77777777" w:rsidR="008D2CA2" w:rsidRPr="00B56B15" w:rsidRDefault="008D2CA2" w:rsidP="00B737DB">
      <w:pPr>
        <w:pStyle w:val="NormalWeb"/>
        <w:spacing w:before="0" w:beforeAutospacing="0" w:after="0" w:afterAutospacing="0" w:line="390" w:lineRule="atLeast"/>
        <w:jc w:val="both"/>
        <w:textAlignment w:val="baseline"/>
        <w:rPr>
          <w:rFonts w:ascii="Abadi" w:hAnsi="Abadi" w:cs="Arial"/>
          <w:sz w:val="20"/>
          <w:szCs w:val="20"/>
        </w:rPr>
      </w:pPr>
    </w:p>
    <w:p w14:paraId="3B7F1974" w14:textId="77777777" w:rsidR="00097CAF" w:rsidRPr="00B56B15" w:rsidRDefault="00097CAF">
      <w:pPr>
        <w:rPr>
          <w:rFonts w:ascii="Abadi" w:hAnsi="Abadi" w:cs="Arial"/>
          <w:sz w:val="20"/>
          <w:szCs w:val="20"/>
        </w:rPr>
      </w:pPr>
    </w:p>
    <w:p w14:paraId="16004CC9" w14:textId="77777777" w:rsidR="008D2CA2" w:rsidRPr="00B737DB" w:rsidRDefault="008D2CA2">
      <w:pPr>
        <w:rPr>
          <w:i/>
        </w:rPr>
      </w:pPr>
    </w:p>
    <w:sectPr w:rsidR="008D2CA2" w:rsidRPr="00B737D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BFE8" w14:textId="77777777" w:rsidR="00262961" w:rsidRDefault="00262961" w:rsidP="008D2CA2">
      <w:pPr>
        <w:spacing w:after="0" w:line="240" w:lineRule="auto"/>
      </w:pPr>
      <w:r>
        <w:separator/>
      </w:r>
    </w:p>
  </w:endnote>
  <w:endnote w:type="continuationSeparator" w:id="0">
    <w:p w14:paraId="109B6D49" w14:textId="77777777" w:rsidR="00262961" w:rsidRDefault="00262961" w:rsidP="008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3B5C" w14:textId="77777777" w:rsidR="00262961" w:rsidRDefault="00262961" w:rsidP="008D2CA2">
      <w:pPr>
        <w:spacing w:after="0" w:line="240" w:lineRule="auto"/>
      </w:pPr>
      <w:r>
        <w:separator/>
      </w:r>
    </w:p>
  </w:footnote>
  <w:footnote w:type="continuationSeparator" w:id="0">
    <w:p w14:paraId="6F645872" w14:textId="77777777" w:rsidR="00262961" w:rsidRDefault="00262961" w:rsidP="008D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5DB2" w14:textId="1453145B" w:rsidR="008D2CA2" w:rsidRDefault="007054F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240A459" wp14:editId="0FCE3430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7815600" cy="125098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tete R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0" cy="125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hand_point_right Vert GCR"/>
      </v:shape>
    </w:pict>
  </w:numPicBullet>
  <w:abstractNum w:abstractNumId="0" w15:restartNumberingAfterBreak="0">
    <w:nsid w:val="01B063E4"/>
    <w:multiLevelType w:val="hybridMultilevel"/>
    <w:tmpl w:val="B6D8EC8E"/>
    <w:lvl w:ilvl="0" w:tplc="6C70973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D008C"/>
    <w:multiLevelType w:val="hybridMultilevel"/>
    <w:tmpl w:val="6366DCB4"/>
    <w:lvl w:ilvl="0" w:tplc="6C70973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76507"/>
    <w:multiLevelType w:val="hybridMultilevel"/>
    <w:tmpl w:val="DED2E298"/>
    <w:lvl w:ilvl="0" w:tplc="C90C48D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5B0"/>
    <w:multiLevelType w:val="hybridMultilevel"/>
    <w:tmpl w:val="9184DF02"/>
    <w:lvl w:ilvl="0" w:tplc="D0921FDC">
      <w:start w:val="20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F3886"/>
    <w:multiLevelType w:val="hybridMultilevel"/>
    <w:tmpl w:val="5A1AEE1A"/>
    <w:lvl w:ilvl="0" w:tplc="C780F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E6369"/>
    <w:multiLevelType w:val="hybridMultilevel"/>
    <w:tmpl w:val="17B03C8E"/>
    <w:lvl w:ilvl="0" w:tplc="A10CD7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B46ED"/>
    <w:multiLevelType w:val="hybridMultilevel"/>
    <w:tmpl w:val="83084D0A"/>
    <w:lvl w:ilvl="0" w:tplc="A10CD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3566"/>
    <w:multiLevelType w:val="hybridMultilevel"/>
    <w:tmpl w:val="9ADEBE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D5EED"/>
    <w:multiLevelType w:val="hybridMultilevel"/>
    <w:tmpl w:val="F36AE124"/>
    <w:lvl w:ilvl="0" w:tplc="C3AC1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B"/>
    <w:rsid w:val="000215FF"/>
    <w:rsid w:val="00027532"/>
    <w:rsid w:val="00034766"/>
    <w:rsid w:val="00035D69"/>
    <w:rsid w:val="00062D44"/>
    <w:rsid w:val="00065F4E"/>
    <w:rsid w:val="00073646"/>
    <w:rsid w:val="00077BD8"/>
    <w:rsid w:val="000932BA"/>
    <w:rsid w:val="00097CAF"/>
    <w:rsid w:val="000B442C"/>
    <w:rsid w:val="000E4EC0"/>
    <w:rsid w:val="000F5065"/>
    <w:rsid w:val="00124601"/>
    <w:rsid w:val="001522DB"/>
    <w:rsid w:val="00176046"/>
    <w:rsid w:val="001A3CC3"/>
    <w:rsid w:val="001C272E"/>
    <w:rsid w:val="001C3281"/>
    <w:rsid w:val="001C599B"/>
    <w:rsid w:val="002001D6"/>
    <w:rsid w:val="00222588"/>
    <w:rsid w:val="00235BCB"/>
    <w:rsid w:val="00262961"/>
    <w:rsid w:val="00270016"/>
    <w:rsid w:val="002708D8"/>
    <w:rsid w:val="00277FB0"/>
    <w:rsid w:val="002A0B76"/>
    <w:rsid w:val="002B051B"/>
    <w:rsid w:val="002B1C34"/>
    <w:rsid w:val="002D0DAE"/>
    <w:rsid w:val="002F3B6E"/>
    <w:rsid w:val="00307AE3"/>
    <w:rsid w:val="00310D2C"/>
    <w:rsid w:val="0031595E"/>
    <w:rsid w:val="00335210"/>
    <w:rsid w:val="003559FF"/>
    <w:rsid w:val="003643B6"/>
    <w:rsid w:val="003741BC"/>
    <w:rsid w:val="0037558A"/>
    <w:rsid w:val="00376D39"/>
    <w:rsid w:val="003A66DB"/>
    <w:rsid w:val="003C58A7"/>
    <w:rsid w:val="003D4DBA"/>
    <w:rsid w:val="00447F74"/>
    <w:rsid w:val="00467E29"/>
    <w:rsid w:val="00473BAE"/>
    <w:rsid w:val="00480CEF"/>
    <w:rsid w:val="004C2899"/>
    <w:rsid w:val="004D0343"/>
    <w:rsid w:val="00524845"/>
    <w:rsid w:val="0054687C"/>
    <w:rsid w:val="005B1E7B"/>
    <w:rsid w:val="005B2D6D"/>
    <w:rsid w:val="005C5005"/>
    <w:rsid w:val="005F491C"/>
    <w:rsid w:val="005F58BE"/>
    <w:rsid w:val="0061741E"/>
    <w:rsid w:val="00653803"/>
    <w:rsid w:val="006875B0"/>
    <w:rsid w:val="00694AB3"/>
    <w:rsid w:val="006C424B"/>
    <w:rsid w:val="006D1424"/>
    <w:rsid w:val="006D7C62"/>
    <w:rsid w:val="007054F3"/>
    <w:rsid w:val="00712AED"/>
    <w:rsid w:val="00854AD6"/>
    <w:rsid w:val="00867847"/>
    <w:rsid w:val="00882320"/>
    <w:rsid w:val="008B6DFE"/>
    <w:rsid w:val="008C4B9C"/>
    <w:rsid w:val="008C5315"/>
    <w:rsid w:val="008D1325"/>
    <w:rsid w:val="008D2CA2"/>
    <w:rsid w:val="008F519B"/>
    <w:rsid w:val="008F6188"/>
    <w:rsid w:val="009113C5"/>
    <w:rsid w:val="00916567"/>
    <w:rsid w:val="00934D92"/>
    <w:rsid w:val="0095623E"/>
    <w:rsid w:val="00A03302"/>
    <w:rsid w:val="00A22652"/>
    <w:rsid w:val="00A22E75"/>
    <w:rsid w:val="00A65963"/>
    <w:rsid w:val="00A85726"/>
    <w:rsid w:val="00A91753"/>
    <w:rsid w:val="00AA6624"/>
    <w:rsid w:val="00AC5CDE"/>
    <w:rsid w:val="00AF2925"/>
    <w:rsid w:val="00B10B94"/>
    <w:rsid w:val="00B56B15"/>
    <w:rsid w:val="00B65842"/>
    <w:rsid w:val="00B66393"/>
    <w:rsid w:val="00B737DB"/>
    <w:rsid w:val="00B80597"/>
    <w:rsid w:val="00B87126"/>
    <w:rsid w:val="00BA388A"/>
    <w:rsid w:val="00BA474B"/>
    <w:rsid w:val="00BB00E6"/>
    <w:rsid w:val="00BB244C"/>
    <w:rsid w:val="00BC4293"/>
    <w:rsid w:val="00C00BEE"/>
    <w:rsid w:val="00C5396B"/>
    <w:rsid w:val="00C737E2"/>
    <w:rsid w:val="00CF09BE"/>
    <w:rsid w:val="00D318C6"/>
    <w:rsid w:val="00D563ED"/>
    <w:rsid w:val="00D64787"/>
    <w:rsid w:val="00D668E2"/>
    <w:rsid w:val="00DB0423"/>
    <w:rsid w:val="00DB41D7"/>
    <w:rsid w:val="00DE03A3"/>
    <w:rsid w:val="00DF61B7"/>
    <w:rsid w:val="00E10E99"/>
    <w:rsid w:val="00E272EC"/>
    <w:rsid w:val="00E47025"/>
    <w:rsid w:val="00E51F80"/>
    <w:rsid w:val="00ED61F8"/>
    <w:rsid w:val="00EF299E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D913"/>
  <w15:chartTrackingRefBased/>
  <w15:docId w15:val="{A0E269A2-BB53-406C-80A0-E1FB0016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7D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2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CA2"/>
  </w:style>
  <w:style w:type="paragraph" w:styleId="Pieddepage">
    <w:name w:val="footer"/>
    <w:basedOn w:val="Normal"/>
    <w:link w:val="PieddepageCar"/>
    <w:uiPriority w:val="99"/>
    <w:unhideWhenUsed/>
    <w:rsid w:val="008D2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CA2"/>
  </w:style>
  <w:style w:type="table" w:styleId="Grilledutableau">
    <w:name w:val="Table Grid"/>
    <w:basedOn w:val="TableauNormal"/>
    <w:uiPriority w:val="39"/>
    <w:rsid w:val="008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Giroux</dc:creator>
  <cp:keywords/>
  <dc:description/>
  <cp:lastModifiedBy>Deraps, Christina</cp:lastModifiedBy>
  <cp:revision>2</cp:revision>
  <cp:lastPrinted>2018-07-12T18:20:00Z</cp:lastPrinted>
  <dcterms:created xsi:type="dcterms:W3CDTF">2018-10-30T15:25:00Z</dcterms:created>
  <dcterms:modified xsi:type="dcterms:W3CDTF">2018-10-30T15:25:00Z</dcterms:modified>
</cp:coreProperties>
</file>