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AF" w:rsidRDefault="001B3CAF" w:rsidP="001B3CAF">
      <w:pPr>
        <w:spacing w:before="100" w:beforeAutospacing="1" w:after="100" w:afterAutospacing="1"/>
        <w:rPr>
          <w:b/>
          <w:bCs/>
          <w:sz w:val="27"/>
          <w:szCs w:val="27"/>
          <w:lang w:val="fr-FR" w:eastAsia="fr-CA"/>
        </w:rPr>
      </w:pPr>
      <w:proofErr w:type="gramStart"/>
      <w:r>
        <w:rPr>
          <w:b/>
          <w:bCs/>
          <w:sz w:val="27"/>
          <w:szCs w:val="27"/>
          <w:lang w:val="fr-FR" w:eastAsia="fr-CA"/>
        </w:rPr>
        <w:t>Technicien(</w:t>
      </w:r>
      <w:proofErr w:type="spellStart"/>
      <w:proofErr w:type="gramEnd"/>
      <w:r>
        <w:rPr>
          <w:b/>
          <w:bCs/>
          <w:sz w:val="27"/>
          <w:szCs w:val="27"/>
          <w:lang w:val="fr-FR" w:eastAsia="fr-CA"/>
        </w:rPr>
        <w:t>enne</w:t>
      </w:r>
      <w:proofErr w:type="spellEnd"/>
      <w:r>
        <w:rPr>
          <w:b/>
          <w:bCs/>
          <w:sz w:val="27"/>
          <w:szCs w:val="27"/>
          <w:lang w:val="fr-FR" w:eastAsia="fr-CA"/>
        </w:rPr>
        <w:t>), Comptable</w:t>
      </w:r>
    </w:p>
    <w:p w:rsidR="001B3CAF" w:rsidRDefault="001B3CAF" w:rsidP="001B3CAF">
      <w:pPr>
        <w:spacing w:before="100" w:beforeAutospacing="1" w:after="100" w:afterAutospacing="1"/>
        <w:rPr>
          <w:b/>
          <w:bCs/>
          <w:sz w:val="27"/>
          <w:szCs w:val="27"/>
          <w:lang w:val="fr-FR" w:eastAsia="fr-CA"/>
        </w:rPr>
      </w:pPr>
      <w:r>
        <w:rPr>
          <w:b/>
          <w:bCs/>
          <w:sz w:val="27"/>
          <w:szCs w:val="27"/>
          <w:lang w:val="fr-FR" w:eastAsia="fr-CA"/>
        </w:rPr>
        <w:t>Description</w:t>
      </w:r>
    </w:p>
    <w:p w:rsidR="001B3CAF" w:rsidRDefault="001B3CAF" w:rsidP="001B3CAF">
      <w:pPr>
        <w:spacing w:after="165"/>
        <w:rPr>
          <w:lang w:val="fr-FR" w:eastAsia="fr-CA"/>
        </w:rPr>
      </w:pPr>
      <w:r>
        <w:rPr>
          <w:lang w:val="fr-FR" w:eastAsia="fr-CA"/>
        </w:rPr>
        <w:t>Sous l’autorité du chef des finances, la personne titulaire du poste assure la bonne comptabilisation de toutes les dépenses d’exploitation de plusieurs compagnies. Il fait également certaines tâches du cycle comptable.</w:t>
      </w:r>
    </w:p>
    <w:p w:rsidR="001B3CAF" w:rsidRDefault="001B3CAF" w:rsidP="001B3CAF">
      <w:pPr>
        <w:numPr>
          <w:ilvl w:val="0"/>
          <w:numId w:val="1"/>
        </w:numPr>
        <w:spacing w:before="100" w:beforeAutospacing="1" w:after="100" w:afterAutospacing="1"/>
        <w:rPr>
          <w:rFonts w:eastAsia="Times New Roman"/>
          <w:lang w:val="fr-FR" w:eastAsia="fr-CA"/>
        </w:rPr>
      </w:pPr>
      <w:r>
        <w:rPr>
          <w:rFonts w:eastAsia="Times New Roman"/>
          <w:lang w:val="fr-FR" w:eastAsia="fr-CA"/>
        </w:rPr>
        <w:t>Effectuer le paiement des comptes fournisseurs.</w:t>
      </w:r>
    </w:p>
    <w:p w:rsidR="001B3CAF" w:rsidRDefault="001B3CAF" w:rsidP="001B3CAF">
      <w:pPr>
        <w:numPr>
          <w:ilvl w:val="0"/>
          <w:numId w:val="1"/>
        </w:numPr>
        <w:spacing w:before="100" w:beforeAutospacing="1" w:after="100" w:afterAutospacing="1"/>
        <w:rPr>
          <w:rFonts w:eastAsia="Times New Roman"/>
          <w:lang w:val="fr-FR" w:eastAsia="fr-CA"/>
        </w:rPr>
      </w:pPr>
      <w:r>
        <w:rPr>
          <w:rFonts w:eastAsia="Times New Roman"/>
          <w:lang w:val="fr-FR" w:eastAsia="fr-CA"/>
        </w:rPr>
        <w:t>Vérifier et concilier les états de comptes des fournisseurs.</w:t>
      </w:r>
    </w:p>
    <w:p w:rsidR="001B3CAF" w:rsidRDefault="001B3CAF" w:rsidP="001B3CAF">
      <w:pPr>
        <w:numPr>
          <w:ilvl w:val="0"/>
          <w:numId w:val="1"/>
        </w:numPr>
        <w:spacing w:before="100" w:beforeAutospacing="1" w:after="100" w:afterAutospacing="1"/>
        <w:rPr>
          <w:rFonts w:eastAsia="Times New Roman"/>
          <w:lang w:val="fr-FR" w:eastAsia="fr-CA"/>
        </w:rPr>
      </w:pPr>
      <w:r>
        <w:rPr>
          <w:rFonts w:eastAsia="Times New Roman"/>
          <w:lang w:val="fr-FR" w:eastAsia="fr-CA"/>
        </w:rPr>
        <w:t>Enregistrer toutes les dépenses au bon poste de grand livre.</w:t>
      </w:r>
    </w:p>
    <w:p w:rsidR="001B3CAF" w:rsidRDefault="001B3CAF" w:rsidP="001B3CAF">
      <w:pPr>
        <w:numPr>
          <w:ilvl w:val="0"/>
          <w:numId w:val="1"/>
        </w:numPr>
        <w:spacing w:before="100" w:beforeAutospacing="1" w:after="100" w:afterAutospacing="1"/>
        <w:rPr>
          <w:rFonts w:eastAsia="Times New Roman"/>
          <w:lang w:val="fr-FR" w:eastAsia="fr-CA"/>
        </w:rPr>
      </w:pPr>
      <w:r>
        <w:rPr>
          <w:rFonts w:eastAsia="Times New Roman"/>
          <w:lang w:val="fr-FR" w:eastAsia="fr-CA"/>
        </w:rPr>
        <w:t>Contrôler les rapports de dépenses selon les règles établies.</w:t>
      </w:r>
    </w:p>
    <w:p w:rsidR="001B3CAF" w:rsidRDefault="001B3CAF" w:rsidP="001B3CAF">
      <w:pPr>
        <w:numPr>
          <w:ilvl w:val="0"/>
          <w:numId w:val="1"/>
        </w:numPr>
        <w:spacing w:before="100" w:beforeAutospacing="1" w:after="100" w:afterAutospacing="1"/>
        <w:rPr>
          <w:rFonts w:eastAsia="Times New Roman"/>
          <w:lang w:val="fr-FR" w:eastAsia="fr-CA"/>
        </w:rPr>
      </w:pPr>
      <w:r>
        <w:rPr>
          <w:rFonts w:eastAsia="Times New Roman"/>
          <w:lang w:val="fr-FR" w:eastAsia="fr-CA"/>
        </w:rPr>
        <w:t>Effectuer certaines tâches du cycle comptable pour plusieurs compagnies.</w:t>
      </w:r>
    </w:p>
    <w:p w:rsidR="001B3CAF" w:rsidRDefault="001B3CAF" w:rsidP="001B3CAF">
      <w:pPr>
        <w:numPr>
          <w:ilvl w:val="0"/>
          <w:numId w:val="1"/>
        </w:numPr>
        <w:spacing w:before="100" w:beforeAutospacing="1" w:after="100" w:afterAutospacing="1"/>
        <w:rPr>
          <w:rFonts w:eastAsia="Times New Roman"/>
          <w:lang w:val="fr-FR" w:eastAsia="fr-CA"/>
        </w:rPr>
      </w:pPr>
      <w:r>
        <w:rPr>
          <w:rFonts w:eastAsia="Times New Roman"/>
          <w:lang w:val="fr-FR" w:eastAsia="fr-CA"/>
        </w:rPr>
        <w:t>Comptabiliser et concilier les relevés mensuels de carte de crédit.</w:t>
      </w:r>
    </w:p>
    <w:p w:rsidR="001B3CAF" w:rsidRDefault="001B3CAF" w:rsidP="001B3CAF">
      <w:pPr>
        <w:numPr>
          <w:ilvl w:val="0"/>
          <w:numId w:val="1"/>
        </w:numPr>
        <w:spacing w:before="100" w:beforeAutospacing="1" w:after="100" w:afterAutospacing="1"/>
        <w:rPr>
          <w:rFonts w:eastAsia="Times New Roman"/>
          <w:lang w:val="fr-FR" w:eastAsia="fr-CA"/>
        </w:rPr>
      </w:pPr>
      <w:r>
        <w:rPr>
          <w:rFonts w:eastAsia="Times New Roman"/>
          <w:lang w:val="fr-FR" w:eastAsia="fr-CA"/>
        </w:rPr>
        <w:t>Assister à des projets reliés à la comptabilité et/ou effectuer toutes autres tâches administratives connexes, tel que classement.</w:t>
      </w:r>
    </w:p>
    <w:p w:rsidR="001B3CAF" w:rsidRDefault="001B3CAF" w:rsidP="001B3CAF">
      <w:pPr>
        <w:spacing w:before="100" w:beforeAutospacing="1" w:after="100" w:afterAutospacing="1"/>
        <w:rPr>
          <w:b/>
          <w:bCs/>
          <w:sz w:val="27"/>
          <w:szCs w:val="27"/>
          <w:lang w:val="fr-FR" w:eastAsia="fr-CA"/>
        </w:rPr>
      </w:pPr>
      <w:r>
        <w:rPr>
          <w:b/>
          <w:bCs/>
          <w:sz w:val="27"/>
          <w:szCs w:val="27"/>
          <w:lang w:val="fr-FR" w:eastAsia="fr-CA"/>
        </w:rPr>
        <w:t xml:space="preserve">Compétences recherchées </w:t>
      </w:r>
    </w:p>
    <w:p w:rsidR="001B3CAF" w:rsidRDefault="001B3CAF" w:rsidP="001B3CAF">
      <w:pPr>
        <w:numPr>
          <w:ilvl w:val="0"/>
          <w:numId w:val="2"/>
        </w:numPr>
        <w:spacing w:before="100" w:beforeAutospacing="1" w:after="100" w:afterAutospacing="1"/>
        <w:rPr>
          <w:rFonts w:eastAsia="Times New Roman"/>
          <w:lang w:val="fr-FR" w:eastAsia="fr-CA"/>
        </w:rPr>
      </w:pPr>
      <w:r>
        <w:rPr>
          <w:rFonts w:eastAsia="Times New Roman"/>
          <w:lang w:val="fr-FR" w:eastAsia="fr-CA"/>
        </w:rPr>
        <w:t>Diplôme d’études professionnelles en comptabilité ou expérience pertinente.</w:t>
      </w:r>
    </w:p>
    <w:p w:rsidR="001B3CAF" w:rsidRDefault="001B3CAF" w:rsidP="001B3CAF">
      <w:pPr>
        <w:numPr>
          <w:ilvl w:val="0"/>
          <w:numId w:val="2"/>
        </w:numPr>
        <w:spacing w:before="100" w:beforeAutospacing="1" w:after="100" w:afterAutospacing="1"/>
        <w:rPr>
          <w:rFonts w:eastAsia="Times New Roman"/>
          <w:lang w:val="fr-FR" w:eastAsia="fr-CA"/>
        </w:rPr>
      </w:pPr>
      <w:r>
        <w:rPr>
          <w:rFonts w:eastAsia="Times New Roman"/>
          <w:lang w:val="fr-FR" w:eastAsia="fr-CA"/>
        </w:rPr>
        <w:t>Expérience pertinente de 1-3 ans.</w:t>
      </w:r>
    </w:p>
    <w:p w:rsidR="001B3CAF" w:rsidRDefault="001B3CAF" w:rsidP="001B3CAF">
      <w:pPr>
        <w:numPr>
          <w:ilvl w:val="0"/>
          <w:numId w:val="2"/>
        </w:numPr>
        <w:spacing w:before="100" w:beforeAutospacing="1" w:after="100" w:afterAutospacing="1"/>
        <w:rPr>
          <w:rFonts w:eastAsia="Times New Roman"/>
          <w:lang w:val="fr-FR" w:eastAsia="fr-CA"/>
        </w:rPr>
      </w:pPr>
      <w:r>
        <w:rPr>
          <w:rFonts w:eastAsia="Times New Roman"/>
          <w:lang w:val="fr-FR" w:eastAsia="fr-CA"/>
        </w:rPr>
        <w:t>Très bonne connaissance du cycle achat/réception/payable.</w:t>
      </w:r>
    </w:p>
    <w:p w:rsidR="001B3CAF" w:rsidRDefault="001B3CAF" w:rsidP="001B3CAF">
      <w:pPr>
        <w:numPr>
          <w:ilvl w:val="0"/>
          <w:numId w:val="2"/>
        </w:numPr>
        <w:spacing w:before="100" w:beforeAutospacing="1" w:after="100" w:afterAutospacing="1"/>
        <w:rPr>
          <w:rFonts w:eastAsia="Times New Roman"/>
          <w:lang w:val="fr-FR" w:eastAsia="fr-CA"/>
        </w:rPr>
      </w:pPr>
      <w:r>
        <w:rPr>
          <w:rFonts w:eastAsia="Times New Roman"/>
          <w:lang w:val="fr-FR" w:eastAsia="fr-CA"/>
        </w:rPr>
        <w:t>Bonne connaissance de l’environnement Windows et surtout du logiciel Microsoft Excel.</w:t>
      </w:r>
    </w:p>
    <w:p w:rsidR="001B3CAF" w:rsidRDefault="001B3CAF" w:rsidP="001B3CAF">
      <w:pPr>
        <w:numPr>
          <w:ilvl w:val="0"/>
          <w:numId w:val="2"/>
        </w:numPr>
        <w:spacing w:before="100" w:beforeAutospacing="1" w:after="100" w:afterAutospacing="1"/>
        <w:rPr>
          <w:rFonts w:eastAsia="Times New Roman"/>
          <w:lang w:val="fr-FR" w:eastAsia="fr-CA"/>
        </w:rPr>
      </w:pPr>
      <w:r>
        <w:rPr>
          <w:rFonts w:eastAsia="Times New Roman"/>
          <w:lang w:val="fr-FR" w:eastAsia="fr-CA"/>
        </w:rPr>
        <w:t>Connaissance d'un logiciel ERP, un atout.</w:t>
      </w:r>
    </w:p>
    <w:p w:rsidR="001B3CAF" w:rsidRDefault="001B3CAF" w:rsidP="001B3CAF">
      <w:pPr>
        <w:numPr>
          <w:ilvl w:val="0"/>
          <w:numId w:val="2"/>
        </w:numPr>
        <w:spacing w:before="100" w:beforeAutospacing="1" w:after="100" w:afterAutospacing="1"/>
        <w:rPr>
          <w:rFonts w:eastAsia="Times New Roman"/>
          <w:lang w:val="fr-FR" w:eastAsia="fr-CA"/>
        </w:rPr>
      </w:pPr>
      <w:r>
        <w:rPr>
          <w:rFonts w:eastAsia="Times New Roman"/>
          <w:lang w:val="fr-FR" w:eastAsia="fr-CA"/>
        </w:rPr>
        <w:t>Habileté à organiser le travail et à gérer les priorités.</w:t>
      </w:r>
    </w:p>
    <w:p w:rsidR="001B3CAF" w:rsidRDefault="001B3CAF" w:rsidP="001B3CAF">
      <w:pPr>
        <w:numPr>
          <w:ilvl w:val="0"/>
          <w:numId w:val="2"/>
        </w:numPr>
        <w:spacing w:before="100" w:beforeAutospacing="1" w:after="100" w:afterAutospacing="1"/>
        <w:rPr>
          <w:rFonts w:eastAsia="Times New Roman"/>
          <w:lang w:val="fr-FR" w:eastAsia="fr-CA"/>
        </w:rPr>
      </w:pPr>
      <w:r>
        <w:rPr>
          <w:rFonts w:eastAsia="Times New Roman"/>
          <w:lang w:val="fr-FR" w:eastAsia="fr-CA"/>
        </w:rPr>
        <w:t>Bilinguisme fonctionnel (un atout).</w:t>
      </w:r>
    </w:p>
    <w:p w:rsidR="001B3CAF" w:rsidRDefault="001B3CAF" w:rsidP="001B3CAF">
      <w:pPr>
        <w:numPr>
          <w:ilvl w:val="0"/>
          <w:numId w:val="2"/>
        </w:numPr>
        <w:spacing w:before="100" w:beforeAutospacing="1" w:after="100" w:afterAutospacing="1"/>
        <w:rPr>
          <w:rFonts w:eastAsia="Times New Roman"/>
          <w:lang w:val="fr-FR" w:eastAsia="fr-CA"/>
        </w:rPr>
      </w:pPr>
      <w:r>
        <w:rPr>
          <w:rFonts w:eastAsia="Times New Roman"/>
          <w:lang w:val="fr-FR" w:eastAsia="fr-CA"/>
        </w:rPr>
        <w:t>Rigueur et sens du détail.</w:t>
      </w:r>
    </w:p>
    <w:p w:rsidR="001B3CAF" w:rsidRDefault="001B3CAF" w:rsidP="001B3CAF">
      <w:pPr>
        <w:numPr>
          <w:ilvl w:val="0"/>
          <w:numId w:val="2"/>
        </w:numPr>
        <w:spacing w:before="100" w:beforeAutospacing="1" w:after="100" w:afterAutospacing="1"/>
        <w:rPr>
          <w:rFonts w:eastAsia="Times New Roman"/>
          <w:lang w:val="fr-FR" w:eastAsia="fr-CA"/>
        </w:rPr>
      </w:pPr>
      <w:r>
        <w:rPr>
          <w:rFonts w:eastAsia="Times New Roman"/>
          <w:lang w:val="fr-FR" w:eastAsia="fr-CA"/>
        </w:rPr>
        <w:t>Capacité de travail en équipe.</w:t>
      </w:r>
    </w:p>
    <w:p w:rsidR="001B3CAF" w:rsidRDefault="001B3CAF" w:rsidP="001B3CAF">
      <w:pPr>
        <w:numPr>
          <w:ilvl w:val="0"/>
          <w:numId w:val="2"/>
        </w:numPr>
        <w:spacing w:before="100" w:beforeAutospacing="1" w:after="100" w:afterAutospacing="1"/>
        <w:rPr>
          <w:rFonts w:eastAsia="Times New Roman"/>
          <w:lang w:val="fr-FR" w:eastAsia="fr-CA"/>
        </w:rPr>
      </w:pPr>
      <w:r>
        <w:rPr>
          <w:rFonts w:eastAsia="Times New Roman"/>
          <w:lang w:val="fr-FR" w:eastAsia="fr-CA"/>
        </w:rPr>
        <w:t>Autonomie.</w:t>
      </w:r>
    </w:p>
    <w:p w:rsidR="001B3CAF" w:rsidRDefault="001B3CAF" w:rsidP="001B3CAF">
      <w:pPr>
        <w:numPr>
          <w:ilvl w:val="0"/>
          <w:numId w:val="2"/>
        </w:numPr>
        <w:spacing w:before="100" w:beforeAutospacing="1" w:after="100" w:afterAutospacing="1"/>
        <w:rPr>
          <w:rFonts w:eastAsia="Times New Roman"/>
          <w:lang w:val="fr-FR" w:eastAsia="fr-CA"/>
        </w:rPr>
      </w:pPr>
      <w:r>
        <w:rPr>
          <w:rFonts w:eastAsia="Times New Roman"/>
          <w:lang w:val="fr-FR" w:eastAsia="fr-CA"/>
        </w:rPr>
        <w:t>Sens de l’éthique et professionnalisme.</w:t>
      </w:r>
    </w:p>
    <w:p w:rsidR="001B3CAF" w:rsidRDefault="001B3CAF" w:rsidP="001B3CAF"/>
    <w:p w:rsidR="001B3CAF" w:rsidRDefault="001B3CAF" w:rsidP="001B3CAF">
      <w:pPr>
        <w:rPr>
          <w:rFonts w:ascii="Arial Narrow" w:hAnsi="Arial Narrow"/>
          <w:color w:val="4A4A48"/>
          <w:sz w:val="20"/>
          <w:szCs w:val="20"/>
          <w:lang w:eastAsia="fr-CA"/>
        </w:rPr>
      </w:pPr>
      <w:r>
        <w:rPr>
          <w:rFonts w:ascii="Arial Narrow" w:hAnsi="Arial Narrow"/>
          <w:b/>
          <w:bCs/>
          <w:color w:val="9A8275"/>
          <w:sz w:val="27"/>
          <w:szCs w:val="27"/>
          <w:lang w:eastAsia="fr-CA"/>
        </w:rPr>
        <w:t>Stéphanie Boudreau</w:t>
      </w:r>
      <w:r>
        <w:rPr>
          <w:rFonts w:ascii="Arial Narrow" w:hAnsi="Arial Narrow"/>
          <w:color w:val="4A4A48"/>
          <w:sz w:val="20"/>
          <w:szCs w:val="20"/>
          <w:lang w:eastAsia="fr-CA"/>
        </w:rPr>
        <w:br/>
      </w:r>
      <w:r>
        <w:rPr>
          <w:rFonts w:ascii="Arial Narrow" w:hAnsi="Arial Narrow"/>
          <w:b/>
          <w:bCs/>
          <w:color w:val="4A4A48"/>
          <w:sz w:val="20"/>
          <w:szCs w:val="20"/>
          <w:lang w:eastAsia="fr-CA"/>
        </w:rPr>
        <w:t>Coordonnatrice, Culture et talents</w:t>
      </w:r>
      <w:r>
        <w:rPr>
          <w:rFonts w:ascii="Arial Narrow" w:hAnsi="Arial Narrow"/>
          <w:color w:val="4A4A48"/>
          <w:sz w:val="20"/>
          <w:szCs w:val="20"/>
          <w:lang w:eastAsia="fr-CA"/>
        </w:rPr>
        <w:br/>
        <w:t>Ressources Humaines</w:t>
      </w:r>
    </w:p>
    <w:p w:rsidR="001B3CAF" w:rsidRDefault="001B3CAF" w:rsidP="001B3CAF">
      <w:pPr>
        <w:rPr>
          <w:rFonts w:ascii="Arial Narrow" w:hAnsi="Arial Narrow"/>
          <w:color w:val="4A4A48"/>
          <w:sz w:val="20"/>
          <w:szCs w:val="20"/>
          <w:lang w:eastAsia="fr-CA"/>
        </w:rPr>
      </w:pPr>
      <w:hyperlink r:id="rId5" w:history="1">
        <w:r>
          <w:rPr>
            <w:rStyle w:val="Lienhypertexte"/>
            <w:rFonts w:ascii="Arial Narrow" w:hAnsi="Arial Narrow"/>
            <w:sz w:val="20"/>
            <w:szCs w:val="20"/>
            <w:lang w:eastAsia="fr-CA"/>
          </w:rPr>
          <w:t>sboudreau@topbeautygroup.ca</w:t>
        </w:r>
      </w:hyperlink>
      <w:r>
        <w:rPr>
          <w:rFonts w:ascii="Arial Narrow" w:hAnsi="Arial Narrow"/>
          <w:color w:val="4A4A48"/>
          <w:sz w:val="20"/>
          <w:szCs w:val="20"/>
          <w:lang w:eastAsia="fr-CA"/>
        </w:rPr>
        <w:t xml:space="preserve"> </w:t>
      </w:r>
    </w:p>
    <w:p w:rsidR="001B3CAF" w:rsidRDefault="001B3CAF" w:rsidP="001B3CAF">
      <w:pPr>
        <w:rPr>
          <w:lang w:eastAsia="fr-CA"/>
        </w:rPr>
      </w:pPr>
    </w:p>
    <w:p w:rsidR="001B3CAF" w:rsidRDefault="001B3CAF" w:rsidP="001B3CAF">
      <w:pPr>
        <w:rPr>
          <w:lang w:eastAsia="fr-CA"/>
        </w:rPr>
      </w:pPr>
    </w:p>
    <w:tbl>
      <w:tblPr>
        <w:tblW w:w="0" w:type="auto"/>
        <w:tblCellSpacing w:w="15" w:type="dxa"/>
        <w:tblCellMar>
          <w:left w:w="0" w:type="dxa"/>
          <w:right w:w="0" w:type="dxa"/>
        </w:tblCellMar>
        <w:tblLook w:val="04A0" w:firstRow="1" w:lastRow="0" w:firstColumn="1" w:lastColumn="0" w:noHBand="0" w:noVBand="1"/>
      </w:tblPr>
      <w:tblGrid>
        <w:gridCol w:w="1845"/>
        <w:gridCol w:w="3622"/>
      </w:tblGrid>
      <w:tr w:rsidR="001B3CAF" w:rsidTr="001B3CAF">
        <w:trPr>
          <w:tblCellSpacing w:w="15" w:type="dxa"/>
        </w:trPr>
        <w:tc>
          <w:tcPr>
            <w:tcW w:w="1800" w:type="dxa"/>
            <w:tcMar>
              <w:top w:w="15" w:type="dxa"/>
              <w:left w:w="15" w:type="dxa"/>
              <w:bottom w:w="15" w:type="dxa"/>
              <w:right w:w="15" w:type="dxa"/>
            </w:tcMar>
            <w:vAlign w:val="center"/>
            <w:hideMark/>
          </w:tcPr>
          <w:p w:rsidR="001B3CAF" w:rsidRDefault="001B3CAF">
            <w:pPr>
              <w:rPr>
                <w:lang w:eastAsia="fr-CA"/>
              </w:rPr>
            </w:pPr>
            <w:r>
              <w:rPr>
                <w:noProof/>
                <w:lang w:eastAsia="fr-CA"/>
              </w:rPr>
              <w:drawing>
                <wp:inline distT="0" distB="0" distL="0" distR="0">
                  <wp:extent cx="895350" cy="952500"/>
                  <wp:effectExtent l="0" t="0" r="0" b="0"/>
                  <wp:docPr id="1" name="Image 1" descr="https://www.starbedard.com/boutique/media/tb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rbedard.com/boutique/media/tbg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9525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1B3CAF" w:rsidRDefault="001B3CAF">
            <w:pPr>
              <w:rPr>
                <w:rFonts w:ascii="Arial Narrow" w:hAnsi="Arial Narrow"/>
                <w:color w:val="4A4A48"/>
                <w:sz w:val="20"/>
                <w:szCs w:val="20"/>
                <w:lang w:eastAsia="fr-CA"/>
              </w:rPr>
            </w:pPr>
            <w:proofErr w:type="spellStart"/>
            <w:r>
              <w:rPr>
                <w:rFonts w:ascii="Arial Narrow" w:hAnsi="Arial Narrow"/>
                <w:color w:val="9A8275"/>
                <w:sz w:val="24"/>
                <w:szCs w:val="24"/>
                <w:lang w:val="en-CA" w:eastAsia="fr-CA"/>
              </w:rPr>
              <w:t>Siège</w:t>
            </w:r>
            <w:proofErr w:type="spellEnd"/>
            <w:r>
              <w:rPr>
                <w:rFonts w:ascii="Arial Narrow" w:hAnsi="Arial Narrow"/>
                <w:color w:val="9A8275"/>
                <w:sz w:val="24"/>
                <w:szCs w:val="24"/>
                <w:lang w:val="en-CA" w:eastAsia="fr-CA"/>
              </w:rPr>
              <w:t xml:space="preserve"> social - Head Office</w:t>
            </w:r>
            <w:r>
              <w:rPr>
                <w:rFonts w:ascii="Arial Narrow" w:hAnsi="Arial Narrow"/>
                <w:color w:val="4A4A48"/>
                <w:sz w:val="20"/>
                <w:szCs w:val="20"/>
                <w:lang w:val="en-CA" w:eastAsia="fr-CA"/>
              </w:rPr>
              <w:br/>
              <w:t>T: 450-967-7827 // 1-800-361-1978 ext.: 22293</w:t>
            </w:r>
            <w:r>
              <w:rPr>
                <w:rFonts w:ascii="Arial Narrow" w:hAnsi="Arial Narrow"/>
                <w:color w:val="4A4A48"/>
                <w:sz w:val="20"/>
                <w:szCs w:val="20"/>
                <w:lang w:val="en-CA" w:eastAsia="fr-CA"/>
              </w:rPr>
              <w:br/>
              <w:t>1700, rue </w:t>
            </w:r>
            <w:proofErr w:type="gramStart"/>
            <w:r>
              <w:rPr>
                <w:rFonts w:ascii="Arial Narrow" w:hAnsi="Arial Narrow"/>
                <w:color w:val="4A4A48"/>
                <w:sz w:val="20"/>
                <w:szCs w:val="20"/>
                <w:lang w:val="en-CA" w:eastAsia="fr-CA"/>
              </w:rPr>
              <w:t>Fleetwood . </w:t>
            </w:r>
            <w:r>
              <w:rPr>
                <w:rFonts w:ascii="Arial Narrow" w:hAnsi="Arial Narrow"/>
                <w:color w:val="4A4A48"/>
                <w:sz w:val="20"/>
                <w:szCs w:val="20"/>
                <w:lang w:eastAsia="fr-CA"/>
              </w:rPr>
              <w:t>Laval . Québec . </w:t>
            </w:r>
            <w:proofErr w:type="gramEnd"/>
            <w:r>
              <w:rPr>
                <w:rFonts w:ascii="Arial Narrow" w:hAnsi="Arial Narrow"/>
                <w:color w:val="4A4A48"/>
                <w:sz w:val="20"/>
                <w:szCs w:val="20"/>
                <w:lang w:eastAsia="fr-CA"/>
              </w:rPr>
              <w:t>H7N 0C6</w:t>
            </w:r>
            <w:r>
              <w:rPr>
                <w:rFonts w:ascii="Arial Narrow" w:hAnsi="Arial Narrow"/>
                <w:color w:val="4A4A48"/>
                <w:sz w:val="20"/>
                <w:szCs w:val="20"/>
                <w:lang w:eastAsia="fr-CA"/>
              </w:rPr>
              <w:br/>
            </w:r>
            <w:hyperlink r:id="rId7" w:tgtFrame="_blank" w:history="1">
              <w:r>
                <w:rPr>
                  <w:rStyle w:val="Lienhypertexte"/>
                  <w:rFonts w:ascii="Arial Narrow" w:hAnsi="Arial Narrow"/>
                  <w:color w:val="9A8275"/>
                  <w:sz w:val="20"/>
                  <w:szCs w:val="20"/>
                  <w:lang w:eastAsia="fr-CA"/>
                </w:rPr>
                <w:t>www.topbeautygroup.ca</w:t>
              </w:r>
            </w:hyperlink>
            <w:r>
              <w:rPr>
                <w:rFonts w:ascii="Arial Narrow" w:hAnsi="Arial Narrow"/>
                <w:color w:val="4A4A48"/>
                <w:sz w:val="20"/>
                <w:szCs w:val="20"/>
                <w:lang w:eastAsia="fr-CA"/>
              </w:rPr>
              <w:t xml:space="preserve"> </w:t>
            </w:r>
          </w:p>
        </w:tc>
      </w:tr>
    </w:tbl>
    <w:p w:rsidR="001B3CAF" w:rsidRDefault="001B3CAF" w:rsidP="001B3CAF">
      <w:pPr>
        <w:rPr>
          <w:lang w:eastAsia="fr-CA"/>
        </w:rPr>
      </w:pPr>
    </w:p>
    <w:p w:rsidR="00047C3C" w:rsidRDefault="00047C3C">
      <w:bookmarkStart w:id="0" w:name="_GoBack"/>
      <w:bookmarkEnd w:id="0"/>
    </w:p>
    <w:sectPr w:rsidR="00047C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14682"/>
    <w:multiLevelType w:val="multilevel"/>
    <w:tmpl w:val="471A4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C0471"/>
    <w:multiLevelType w:val="multilevel"/>
    <w:tmpl w:val="29D6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AF"/>
    <w:rsid w:val="00047C3C"/>
    <w:rsid w:val="001B3C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65B30-10CA-4775-B2CE-EF61534E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CA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B3C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2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beautygrou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boudreau@topbeautygroup.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2018-11-29T20:25:00Z</dcterms:created>
  <dcterms:modified xsi:type="dcterms:W3CDTF">2018-11-29T20:26:00Z</dcterms:modified>
</cp:coreProperties>
</file>