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3C59" w14:textId="77777777" w:rsidR="0048230D" w:rsidRPr="0048230D" w:rsidRDefault="0048230D" w:rsidP="0048230D">
      <w:pPr>
        <w:pStyle w:val="NormalWeb"/>
        <w:shd w:val="clear" w:color="auto" w:fill="FFFFFF"/>
        <w:spacing w:before="0" w:beforeAutospacing="0" w:after="0" w:afterAutospacing="0"/>
        <w:jc w:val="both"/>
      </w:pPr>
      <w:r>
        <w:rPr>
          <w:rFonts w:ascii="Helvetica" w:hAnsi="Helvetica" w:cs="Helvetica"/>
          <w:b/>
          <w:bCs/>
          <w:color w:val="333333"/>
          <w:sz w:val="20"/>
          <w:szCs w:val="20"/>
          <w:highlight w:val="yellow"/>
        </w:rPr>
        <w:t>Concepteur – 4 postes ouverts</w:t>
      </w:r>
    </w:p>
    <w:p w14:paraId="4D4DC8B2" w14:textId="77777777" w:rsidR="0048230D" w:rsidRPr="0048230D" w:rsidRDefault="0048230D" w:rsidP="0048230D">
      <w:pPr>
        <w:pStyle w:val="NormalWeb"/>
        <w:shd w:val="clear" w:color="auto" w:fill="FFFFFF"/>
        <w:spacing w:before="0" w:beforeAutospacing="0" w:after="0" w:afterAutospacing="0"/>
        <w:jc w:val="both"/>
      </w:pPr>
      <w:r>
        <w:rPr>
          <w:rFonts w:ascii="Helvetica" w:hAnsi="Helvetica" w:cs="Helvetica"/>
          <w:color w:val="333333"/>
          <w:sz w:val="20"/>
          <w:szCs w:val="20"/>
        </w:rPr>
        <w:t>Poste permanent temps plein</w:t>
      </w:r>
    </w:p>
    <w:p w14:paraId="3C192E81" w14:textId="77777777" w:rsidR="0048230D" w:rsidRPr="0048230D" w:rsidRDefault="0048230D" w:rsidP="0048230D">
      <w:pPr>
        <w:pStyle w:val="NormalWeb"/>
        <w:shd w:val="clear" w:color="auto" w:fill="FFFFFF"/>
        <w:spacing w:before="0" w:beforeAutospacing="0" w:after="0" w:afterAutospacing="0"/>
        <w:jc w:val="both"/>
      </w:pPr>
      <w:r>
        <w:rPr>
          <w:rFonts w:ascii="Helvetica" w:hAnsi="Helvetica" w:cs="Helvetica"/>
          <w:color w:val="333333"/>
          <w:sz w:val="20"/>
          <w:szCs w:val="20"/>
        </w:rPr>
        <w:t>Laval</w:t>
      </w:r>
    </w:p>
    <w:p w14:paraId="2D19DC89" w14:textId="77777777" w:rsidR="0048230D" w:rsidRPr="0048230D" w:rsidRDefault="0048230D" w:rsidP="0048230D">
      <w:pPr>
        <w:pStyle w:val="NormalWeb"/>
        <w:shd w:val="clear" w:color="auto" w:fill="FFFFFF"/>
        <w:spacing w:before="0" w:beforeAutospacing="0" w:after="0" w:afterAutospacing="0"/>
        <w:jc w:val="both"/>
      </w:pPr>
      <w:r>
        <w:rPr>
          <w:rFonts w:ascii="Helvetica" w:hAnsi="Helvetica" w:cs="Helvetica"/>
          <w:color w:val="333333"/>
          <w:sz w:val="20"/>
          <w:szCs w:val="20"/>
        </w:rPr>
        <w:t xml:space="preserve">Lien pour appliquer en ligne : </w:t>
      </w:r>
      <w:hyperlink r:id="rId5" w:tgtFrame="_blank" w:history="1">
        <w:r>
          <w:rPr>
            <w:rStyle w:val="Lienhypertexte"/>
            <w:rFonts w:ascii="Roboto" w:hAnsi="Roboto"/>
            <w:color w:val="0087CC"/>
            <w:sz w:val="18"/>
            <w:szCs w:val="18"/>
            <w:u w:val="none"/>
            <w:shd w:val="clear" w:color="auto" w:fill="FFFFFF"/>
          </w:rPr>
          <w:t>https://tre.tbe.taleo.net/tre01/ats/careers/v2/viewRequisition?org=TELECONINC&amp;cws=43&amp;rid=4163</w:t>
        </w:r>
      </w:hyperlink>
    </w:p>
    <w:p w14:paraId="542E4D28" w14:textId="77777777" w:rsidR="0048230D" w:rsidRPr="0048230D" w:rsidRDefault="0048230D" w:rsidP="0048230D">
      <w:pPr>
        <w:pStyle w:val="NormalWeb"/>
        <w:shd w:val="clear" w:color="auto" w:fill="FFFFFF"/>
        <w:spacing w:before="0" w:beforeAutospacing="0" w:after="0" w:afterAutospacing="0"/>
        <w:jc w:val="both"/>
      </w:pPr>
      <w:r>
        <w:rPr>
          <w:color w:val="000000"/>
        </w:rPr>
        <w:t xml:space="preserve">Ou m’envoyer votre cv à : </w:t>
      </w:r>
      <w:hyperlink r:id="rId6" w:history="1">
        <w:r>
          <w:rPr>
            <w:rStyle w:val="Lienhypertexte"/>
          </w:rPr>
          <w:t>marianne.deschenes</w:t>
        </w:r>
        <w:r>
          <w:rPr>
            <w:rStyle w:val="Lienhypertexte"/>
            <w:rFonts w:ascii="Arial" w:hAnsi="Arial" w:cs="Arial"/>
            <w:sz w:val="21"/>
            <w:szCs w:val="21"/>
            <w:shd w:val="clear" w:color="auto" w:fill="FFFFFF"/>
          </w:rPr>
          <w:t>@telecon.ca</w:t>
        </w:r>
      </w:hyperlink>
      <w:r>
        <w:rPr>
          <w:color w:val="000000"/>
        </w:rPr>
        <w:t> </w:t>
      </w:r>
    </w:p>
    <w:p w14:paraId="0F52EC1F" w14:textId="77777777" w:rsidR="0048230D" w:rsidRPr="0048230D" w:rsidRDefault="0048230D" w:rsidP="0048230D">
      <w:pPr>
        <w:pStyle w:val="NormalWeb"/>
        <w:shd w:val="clear" w:color="auto" w:fill="FFFFFF"/>
        <w:spacing w:before="0" w:beforeAutospacing="0" w:after="135" w:afterAutospacing="0"/>
      </w:pPr>
      <w:r>
        <w:rPr>
          <w:rFonts w:ascii="Roboto" w:hAnsi="Roboto"/>
          <w:color w:val="000000"/>
          <w:sz w:val="18"/>
          <w:szCs w:val="18"/>
        </w:rPr>
        <w:t> </w:t>
      </w:r>
    </w:p>
    <w:p w14:paraId="7B392D03" w14:textId="77777777" w:rsidR="0048230D" w:rsidRPr="0048230D" w:rsidRDefault="0048230D" w:rsidP="0048230D">
      <w:pPr>
        <w:pStyle w:val="NormalWeb"/>
        <w:shd w:val="clear" w:color="auto" w:fill="FFFFFF"/>
        <w:spacing w:before="0" w:beforeAutospacing="0" w:after="135" w:afterAutospacing="0"/>
      </w:pPr>
      <w:r>
        <w:rPr>
          <w:rFonts w:ascii="Roboto" w:hAnsi="Roboto"/>
          <w:color w:val="000000"/>
          <w:sz w:val="18"/>
          <w:szCs w:val="18"/>
        </w:rPr>
        <w:t>Le rôle du Concepteur – réseau FTTH consiste à faire la conception des structures de soutènement souterraines et aériennes ainsi qu'à effectuer les analyses et les calculs de charge. Le Concepteur – réseau FTTH maximise les prises de décisions dans un intérêt d’économie de temps et de coûts dans l’utilisation des structures de soutènement. Le rôle du Concepteur – réseau FTTH inclus autant de la coordination de tâches inter-équipes que de la conception et des visites communes à l’extérieures avec les entrepreneurs travaux.</w:t>
      </w:r>
    </w:p>
    <w:p w14:paraId="751662FD" w14:textId="415D19E3" w:rsidR="0048230D" w:rsidRDefault="0048230D" w:rsidP="0048230D">
      <w:pPr>
        <w:pStyle w:val="NormalWeb"/>
        <w:shd w:val="clear" w:color="auto" w:fill="FFFFFF"/>
        <w:spacing w:before="0" w:beforeAutospacing="0" w:after="135" w:afterAutospacing="0"/>
        <w:rPr>
          <w:lang w:val="en-US"/>
        </w:rPr>
      </w:pPr>
      <w:r>
        <w:rPr>
          <w:rFonts w:ascii="Roboto" w:hAnsi="Roboto"/>
          <w:color w:val="000000"/>
          <w:sz w:val="18"/>
          <w:szCs w:val="18"/>
        </w:rPr>
        <w:t> </w:t>
      </w:r>
      <w:proofErr w:type="gramStart"/>
      <w:r>
        <w:rPr>
          <w:rStyle w:val="lev"/>
          <w:rFonts w:ascii="Roboto" w:hAnsi="Roboto"/>
          <w:color w:val="000000"/>
          <w:sz w:val="18"/>
          <w:szCs w:val="18"/>
          <w:lang w:val="en-US"/>
        </w:rPr>
        <w:t>RESPONSABILITÉS :</w:t>
      </w:r>
      <w:proofErr w:type="gramEnd"/>
    </w:p>
    <w:p w14:paraId="76E08CBA"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Effectuer la conception sur des structures de soutènement souterraines et aériennes;</w:t>
      </w:r>
    </w:p>
    <w:p w14:paraId="1F83AF7D"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 xml:space="preserve">Effectuer les analyses et les calculs de charge à l’aide du logiciel </w:t>
      </w:r>
      <w:proofErr w:type="spellStart"/>
      <w:r>
        <w:rPr>
          <w:rFonts w:ascii="Roboto" w:hAnsi="Roboto"/>
          <w:color w:val="000000"/>
          <w:sz w:val="18"/>
          <w:szCs w:val="18"/>
        </w:rPr>
        <w:t>SimPas</w:t>
      </w:r>
      <w:proofErr w:type="spellEnd"/>
      <w:r>
        <w:rPr>
          <w:rFonts w:ascii="Roboto" w:hAnsi="Roboto"/>
          <w:color w:val="000000"/>
          <w:sz w:val="18"/>
          <w:szCs w:val="18"/>
        </w:rPr>
        <w:t>;</w:t>
      </w:r>
    </w:p>
    <w:p w14:paraId="19F001E3"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Examiner les conditions actuelles du réseau en fonction d’un ensemble de paramètres;</w:t>
      </w:r>
    </w:p>
    <w:p w14:paraId="27853323"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Vérifier auprès des organismes gouvernementaux, tels que le Ministère des Transports, les projets pouvant affecter le réseau actuel de télécommunications;</w:t>
      </w:r>
    </w:p>
    <w:p w14:paraId="3C079F1B"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Envoyer les demandes d'inspection des puits d’accès des installations afin vérifier l’affectation des conduits, des raccordements et/ou des encombrements;</w:t>
      </w:r>
    </w:p>
    <w:p w14:paraId="0B6F9D0A"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Identifier les corrections de réseaux requises, anomalies de structures ainsi que anomalies de câblage / réseaux;</w:t>
      </w:r>
    </w:p>
    <w:p w14:paraId="53E82E05"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Analyse et achemine les demandes de relevés nécessaires afin de déterminer le réseau le plus efficace à installer;</w:t>
      </w:r>
    </w:p>
    <w:p w14:paraId="0D3A6829"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Préparer les documents et formulaires nécessaires pour la conception et la mise en plan, incluant l’identification des besoins en droits de passage si nécessaire;</w:t>
      </w:r>
    </w:p>
    <w:p w14:paraId="14BAA76B"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Acheminer les demandes de négociation de construction sur les terrains (conduit privé) si requis;</w:t>
      </w:r>
    </w:p>
    <w:p w14:paraId="57B56207"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Valider la hauteur des poteaux et la protection nécessaire, selon l’emplacement du site et des normes en vigueur;</w:t>
      </w:r>
    </w:p>
    <w:p w14:paraId="647E7C2F" w14:textId="77777777" w:rsidR="0048230D" w:rsidRPr="0048230D" w:rsidRDefault="0048230D" w:rsidP="0048230D">
      <w:pPr>
        <w:numPr>
          <w:ilvl w:val="0"/>
          <w:numId w:val="1"/>
        </w:numPr>
        <w:shd w:val="clear" w:color="auto" w:fill="FFFFFF"/>
        <w:spacing w:line="270" w:lineRule="atLeast"/>
        <w:ind w:left="375"/>
      </w:pPr>
      <w:r>
        <w:rPr>
          <w:rFonts w:ascii="Roboto" w:hAnsi="Roboto"/>
          <w:color w:val="000000"/>
          <w:sz w:val="18"/>
          <w:szCs w:val="18"/>
        </w:rPr>
        <w:t>Vérifier la condition du réseau des autres télécommunicateurs présents sur les structures existantes.    </w:t>
      </w:r>
    </w:p>
    <w:p w14:paraId="636F0884" w14:textId="77777777" w:rsidR="0048230D" w:rsidRPr="0048230D" w:rsidRDefault="0048230D" w:rsidP="0048230D">
      <w:pPr>
        <w:pStyle w:val="NormalWeb"/>
        <w:shd w:val="clear" w:color="auto" w:fill="FFFFFF"/>
        <w:spacing w:before="0" w:beforeAutospacing="0" w:after="135" w:afterAutospacing="0"/>
      </w:pPr>
      <w:r>
        <w:rPr>
          <w:rFonts w:ascii="Roboto" w:hAnsi="Roboto"/>
          <w:color w:val="000000"/>
          <w:sz w:val="18"/>
          <w:szCs w:val="18"/>
        </w:rPr>
        <w:t> </w:t>
      </w:r>
    </w:p>
    <w:p w14:paraId="35A689F1" w14:textId="77777777" w:rsidR="0048230D" w:rsidRDefault="0048230D" w:rsidP="0048230D">
      <w:pPr>
        <w:pStyle w:val="NormalWeb"/>
        <w:shd w:val="clear" w:color="auto" w:fill="FFFFFF"/>
        <w:spacing w:before="0" w:beforeAutospacing="0" w:after="0" w:afterAutospacing="0"/>
        <w:rPr>
          <w:lang w:val="en-US"/>
        </w:rPr>
      </w:pPr>
      <w:proofErr w:type="gramStart"/>
      <w:r>
        <w:rPr>
          <w:rStyle w:val="lev"/>
          <w:rFonts w:ascii="Roboto" w:hAnsi="Roboto"/>
          <w:color w:val="000000"/>
          <w:sz w:val="18"/>
          <w:szCs w:val="18"/>
          <w:lang w:val="en-US"/>
        </w:rPr>
        <w:t>EXIGENCES :</w:t>
      </w:r>
      <w:proofErr w:type="gramEnd"/>
    </w:p>
    <w:p w14:paraId="5106C229" w14:textId="77777777" w:rsidR="0048230D" w:rsidRPr="0048230D" w:rsidRDefault="0048230D" w:rsidP="0048230D">
      <w:pPr>
        <w:numPr>
          <w:ilvl w:val="0"/>
          <w:numId w:val="2"/>
        </w:numPr>
        <w:shd w:val="clear" w:color="auto" w:fill="FFFFFF"/>
        <w:spacing w:line="270" w:lineRule="atLeast"/>
        <w:ind w:left="375"/>
      </w:pPr>
      <w:r>
        <w:rPr>
          <w:rFonts w:ascii="Roboto" w:hAnsi="Roboto"/>
          <w:color w:val="000000"/>
          <w:sz w:val="18"/>
          <w:szCs w:val="18"/>
        </w:rPr>
        <w:t>Diplôme collégial dans un domaine pertinent ou expérience équivalente au poste;</w:t>
      </w:r>
    </w:p>
    <w:p w14:paraId="0B53700C" w14:textId="77777777" w:rsidR="0048230D" w:rsidRPr="0048230D" w:rsidRDefault="0048230D" w:rsidP="0048230D">
      <w:pPr>
        <w:numPr>
          <w:ilvl w:val="0"/>
          <w:numId w:val="2"/>
        </w:numPr>
        <w:shd w:val="clear" w:color="auto" w:fill="FFFFFF"/>
        <w:spacing w:line="270" w:lineRule="atLeast"/>
        <w:ind w:left="375"/>
      </w:pPr>
      <w:r>
        <w:rPr>
          <w:rFonts w:ascii="Roboto" w:hAnsi="Roboto"/>
          <w:color w:val="000000"/>
          <w:sz w:val="18"/>
          <w:szCs w:val="18"/>
        </w:rPr>
        <w:t>1 à 3 ans d’expérience pertinente dans le domaine des télécommunications;</w:t>
      </w:r>
    </w:p>
    <w:p w14:paraId="1AFE24F9" w14:textId="77777777" w:rsidR="0048230D" w:rsidRPr="0048230D" w:rsidRDefault="0048230D" w:rsidP="0048230D">
      <w:pPr>
        <w:numPr>
          <w:ilvl w:val="0"/>
          <w:numId w:val="2"/>
        </w:numPr>
        <w:shd w:val="clear" w:color="auto" w:fill="FFFFFF"/>
        <w:spacing w:line="270" w:lineRule="atLeast"/>
        <w:ind w:left="375"/>
      </w:pPr>
      <w:r>
        <w:rPr>
          <w:rFonts w:ascii="Roboto" w:hAnsi="Roboto"/>
          <w:color w:val="000000"/>
          <w:sz w:val="18"/>
          <w:szCs w:val="18"/>
        </w:rPr>
        <w:t>Connaissances informatiques de MS Office;</w:t>
      </w:r>
    </w:p>
    <w:p w14:paraId="22DD292B" w14:textId="77777777" w:rsidR="0048230D" w:rsidRPr="0048230D" w:rsidRDefault="0048230D" w:rsidP="0048230D">
      <w:pPr>
        <w:numPr>
          <w:ilvl w:val="0"/>
          <w:numId w:val="2"/>
        </w:numPr>
        <w:shd w:val="clear" w:color="auto" w:fill="FFFFFF"/>
        <w:spacing w:line="270" w:lineRule="atLeast"/>
        <w:ind w:left="375"/>
      </w:pPr>
      <w:r>
        <w:rPr>
          <w:rFonts w:ascii="Roboto" w:hAnsi="Roboto"/>
          <w:color w:val="000000"/>
          <w:sz w:val="18"/>
          <w:szCs w:val="18"/>
        </w:rPr>
        <w:t>Connaissance générale reliée à la conception d’un réseau de fibres optiques (atout);</w:t>
      </w:r>
    </w:p>
    <w:p w14:paraId="19811FC1" w14:textId="77777777" w:rsidR="0048230D" w:rsidRPr="0048230D" w:rsidRDefault="0048230D" w:rsidP="0048230D">
      <w:pPr>
        <w:numPr>
          <w:ilvl w:val="0"/>
          <w:numId w:val="2"/>
        </w:numPr>
        <w:shd w:val="clear" w:color="auto" w:fill="FFFFFF"/>
        <w:spacing w:line="270" w:lineRule="atLeast"/>
        <w:ind w:left="375"/>
      </w:pPr>
      <w:r>
        <w:rPr>
          <w:rFonts w:ascii="Roboto" w:hAnsi="Roboto"/>
          <w:color w:val="000000"/>
          <w:sz w:val="18"/>
          <w:szCs w:val="18"/>
        </w:rPr>
        <w:t>Familiarité avec certains logiciels de conception par ordinateur (</w:t>
      </w:r>
      <w:proofErr w:type="spellStart"/>
      <w:r>
        <w:rPr>
          <w:rFonts w:ascii="Roboto" w:hAnsi="Roboto"/>
          <w:color w:val="000000"/>
          <w:sz w:val="18"/>
          <w:szCs w:val="18"/>
        </w:rPr>
        <w:t>NetworkX</w:t>
      </w:r>
      <w:proofErr w:type="spellEnd"/>
      <w:r>
        <w:rPr>
          <w:rFonts w:ascii="Roboto" w:hAnsi="Roboto"/>
          <w:color w:val="000000"/>
          <w:sz w:val="18"/>
          <w:szCs w:val="18"/>
        </w:rPr>
        <w:t xml:space="preserve"> </w:t>
      </w:r>
      <w:proofErr w:type="spellStart"/>
      <w:r>
        <w:rPr>
          <w:rFonts w:ascii="Roboto" w:hAnsi="Roboto"/>
          <w:color w:val="000000"/>
          <w:sz w:val="18"/>
          <w:szCs w:val="18"/>
        </w:rPr>
        <w:t>Autocad</w:t>
      </w:r>
      <w:proofErr w:type="spellEnd"/>
      <w:r>
        <w:rPr>
          <w:rFonts w:ascii="Roboto" w:hAnsi="Roboto"/>
          <w:color w:val="000000"/>
          <w:sz w:val="18"/>
          <w:szCs w:val="18"/>
        </w:rPr>
        <w:t xml:space="preserve">, </w:t>
      </w:r>
      <w:proofErr w:type="gramStart"/>
      <w:r>
        <w:rPr>
          <w:rFonts w:ascii="Roboto" w:hAnsi="Roboto"/>
          <w:color w:val="000000"/>
          <w:sz w:val="18"/>
          <w:szCs w:val="18"/>
        </w:rPr>
        <w:t>Visio ,</w:t>
      </w:r>
      <w:proofErr w:type="gramEnd"/>
      <w:r>
        <w:rPr>
          <w:rFonts w:ascii="Roboto" w:hAnsi="Roboto"/>
          <w:color w:val="000000"/>
          <w:sz w:val="18"/>
          <w:szCs w:val="18"/>
        </w:rPr>
        <w:t xml:space="preserve"> </w:t>
      </w:r>
      <w:proofErr w:type="spellStart"/>
      <w:r>
        <w:rPr>
          <w:rFonts w:ascii="Roboto" w:hAnsi="Roboto"/>
          <w:color w:val="000000"/>
          <w:sz w:val="18"/>
          <w:szCs w:val="18"/>
        </w:rPr>
        <w:t>Bluebeam</w:t>
      </w:r>
      <w:proofErr w:type="spellEnd"/>
      <w:r>
        <w:rPr>
          <w:rFonts w:ascii="Roboto" w:hAnsi="Roboto"/>
          <w:color w:val="000000"/>
          <w:sz w:val="18"/>
          <w:szCs w:val="18"/>
        </w:rPr>
        <w:t>, un atout);</w:t>
      </w:r>
    </w:p>
    <w:p w14:paraId="09ABED62" w14:textId="77777777" w:rsidR="0048230D" w:rsidRPr="0048230D" w:rsidRDefault="0048230D" w:rsidP="0048230D">
      <w:pPr>
        <w:numPr>
          <w:ilvl w:val="0"/>
          <w:numId w:val="2"/>
        </w:numPr>
        <w:shd w:val="clear" w:color="auto" w:fill="FFFFFF"/>
        <w:spacing w:line="270" w:lineRule="atLeast"/>
        <w:ind w:left="375"/>
      </w:pPr>
      <w:r>
        <w:rPr>
          <w:rFonts w:ascii="Roboto" w:hAnsi="Roboto"/>
          <w:color w:val="000000"/>
          <w:sz w:val="18"/>
          <w:szCs w:val="18"/>
        </w:rPr>
        <w:t>Capacité de présenter les informations en personne, par téléphone et par écrit;</w:t>
      </w:r>
    </w:p>
    <w:p w14:paraId="23BE79E8" w14:textId="77777777" w:rsidR="0048230D" w:rsidRPr="0048230D" w:rsidRDefault="0048230D" w:rsidP="0048230D">
      <w:pPr>
        <w:numPr>
          <w:ilvl w:val="0"/>
          <w:numId w:val="2"/>
        </w:numPr>
        <w:shd w:val="clear" w:color="auto" w:fill="FFFFFF"/>
        <w:spacing w:line="270" w:lineRule="atLeast"/>
        <w:ind w:left="375"/>
      </w:pPr>
      <w:r>
        <w:rPr>
          <w:rFonts w:ascii="Roboto" w:hAnsi="Roboto"/>
          <w:color w:val="000000"/>
          <w:sz w:val="18"/>
          <w:szCs w:val="18"/>
        </w:rPr>
        <w:t>Possède une bonne présentation et en mesure de communiquer adéquatement;</w:t>
      </w:r>
    </w:p>
    <w:p w14:paraId="5D5780B0" w14:textId="77777777" w:rsidR="0048230D" w:rsidRPr="0048230D" w:rsidRDefault="0048230D" w:rsidP="0048230D">
      <w:pPr>
        <w:numPr>
          <w:ilvl w:val="0"/>
          <w:numId w:val="2"/>
        </w:numPr>
        <w:shd w:val="clear" w:color="auto" w:fill="FFFFFF"/>
        <w:spacing w:line="270" w:lineRule="atLeast"/>
        <w:ind w:left="375"/>
      </w:pPr>
      <w:r>
        <w:rPr>
          <w:rFonts w:ascii="Roboto" w:hAnsi="Roboto"/>
          <w:color w:val="000000"/>
          <w:sz w:val="18"/>
          <w:szCs w:val="18"/>
        </w:rPr>
        <w:t>Doit posséder un permis de conduire valide.</w:t>
      </w:r>
    </w:p>
    <w:p w14:paraId="00F0BDC0" w14:textId="77777777" w:rsidR="0048230D" w:rsidRPr="0048230D" w:rsidRDefault="0048230D" w:rsidP="0048230D">
      <w:pPr>
        <w:pStyle w:val="NormalWeb"/>
        <w:shd w:val="clear" w:color="auto" w:fill="FFFFFF"/>
        <w:spacing w:before="0" w:beforeAutospacing="0" w:after="135" w:afterAutospacing="0"/>
      </w:pPr>
      <w:r>
        <w:rPr>
          <w:rFonts w:ascii="Roboto" w:hAnsi="Roboto"/>
          <w:color w:val="000000"/>
          <w:sz w:val="18"/>
          <w:szCs w:val="18"/>
        </w:rPr>
        <w:t> </w:t>
      </w:r>
    </w:p>
    <w:p w14:paraId="2EAC321D" w14:textId="77777777" w:rsidR="0048230D" w:rsidRPr="0048230D" w:rsidRDefault="0048230D" w:rsidP="0048230D">
      <w:pPr>
        <w:pStyle w:val="NormalWeb"/>
        <w:shd w:val="clear" w:color="auto" w:fill="FFFFFF"/>
        <w:spacing w:before="0" w:beforeAutospacing="0" w:after="0" w:afterAutospacing="0"/>
      </w:pPr>
      <w:r>
        <w:rPr>
          <w:rStyle w:val="lev"/>
          <w:rFonts w:ascii="Roboto" w:hAnsi="Roboto"/>
          <w:color w:val="000000"/>
          <w:sz w:val="18"/>
          <w:szCs w:val="18"/>
        </w:rPr>
        <w:t>À PROPOS DU GROUPE TELECON</w:t>
      </w:r>
    </w:p>
    <w:p w14:paraId="74915EA3" w14:textId="68B95629" w:rsidR="00826F83" w:rsidRDefault="0048230D" w:rsidP="0048230D">
      <w:pPr>
        <w:pStyle w:val="NormalWeb"/>
        <w:shd w:val="clear" w:color="auto" w:fill="FFFFFF"/>
        <w:spacing w:before="0" w:beforeAutospacing="0" w:after="0" w:afterAutospacing="0"/>
      </w:pPr>
      <w:r>
        <w:rPr>
          <w:rFonts w:ascii="Roboto" w:hAnsi="Roboto"/>
          <w:color w:val="000000"/>
          <w:sz w:val="18"/>
          <w:szCs w:val="18"/>
        </w:rPr>
        <w:t xml:space="preserve">Fondée en 1967, </w:t>
      </w:r>
      <w:proofErr w:type="spellStart"/>
      <w:r>
        <w:rPr>
          <w:rFonts w:ascii="Roboto" w:hAnsi="Roboto"/>
          <w:color w:val="000000"/>
          <w:sz w:val="18"/>
          <w:szCs w:val="18"/>
        </w:rPr>
        <w:t>Telecon</w:t>
      </w:r>
      <w:proofErr w:type="spellEnd"/>
      <w:r>
        <w:rPr>
          <w:rFonts w:ascii="Roboto" w:hAnsi="Roboto"/>
          <w:color w:val="000000"/>
          <w:sz w:val="18"/>
          <w:szCs w:val="18"/>
        </w:rPr>
        <w:t xml:space="preserve"> est le plus grand fournisseur de services en infrastructure de réseaux de télécommunications au Canada. La société s’appuie sur sa présence nationale, ses milliers de professionnels qualifiés, ses relations clients et ses plus de 50 ans d’existence pour offrir des solutions de conception, de localisation, d’infrastructure et de connectivité de pointe aux entreprises de télécommunications et entreprises clientes à l’échelle du pays. Selon la région et le type de travaux à effectuer, </w:t>
      </w:r>
      <w:proofErr w:type="spellStart"/>
      <w:r>
        <w:rPr>
          <w:rFonts w:ascii="Roboto" w:hAnsi="Roboto"/>
          <w:color w:val="000000"/>
          <w:sz w:val="18"/>
          <w:szCs w:val="18"/>
        </w:rPr>
        <w:t>Telecon</w:t>
      </w:r>
      <w:proofErr w:type="spellEnd"/>
      <w:r>
        <w:rPr>
          <w:rFonts w:ascii="Roboto" w:hAnsi="Roboto"/>
          <w:color w:val="000000"/>
          <w:sz w:val="18"/>
          <w:szCs w:val="18"/>
        </w:rPr>
        <w:t xml:space="preserve"> s’affiche sous l’une ou l’autre de ces marques: </w:t>
      </w:r>
      <w:proofErr w:type="spellStart"/>
      <w:r>
        <w:rPr>
          <w:rFonts w:ascii="Roboto" w:hAnsi="Roboto"/>
          <w:color w:val="000000"/>
          <w:sz w:val="18"/>
          <w:szCs w:val="18"/>
        </w:rPr>
        <w:t>Telecon</w:t>
      </w:r>
      <w:proofErr w:type="spellEnd"/>
      <w:r>
        <w:rPr>
          <w:rFonts w:ascii="Roboto" w:hAnsi="Roboto"/>
          <w:color w:val="000000"/>
          <w:sz w:val="18"/>
          <w:szCs w:val="18"/>
        </w:rPr>
        <w:t xml:space="preserve">, </w:t>
      </w:r>
      <w:proofErr w:type="spellStart"/>
      <w:r>
        <w:rPr>
          <w:rFonts w:ascii="Roboto" w:hAnsi="Roboto"/>
          <w:color w:val="000000"/>
          <w:sz w:val="18"/>
          <w:szCs w:val="18"/>
        </w:rPr>
        <w:t>Telecon</w:t>
      </w:r>
      <w:proofErr w:type="spellEnd"/>
      <w:r>
        <w:rPr>
          <w:rFonts w:ascii="Roboto" w:hAnsi="Roboto"/>
          <w:color w:val="000000"/>
          <w:sz w:val="18"/>
          <w:szCs w:val="18"/>
        </w:rPr>
        <w:t xml:space="preserve"> Design, AGIR Consultants, </w:t>
      </w:r>
      <w:proofErr w:type="spellStart"/>
      <w:r>
        <w:rPr>
          <w:rFonts w:ascii="Roboto" w:hAnsi="Roboto"/>
          <w:color w:val="000000"/>
          <w:sz w:val="18"/>
          <w:szCs w:val="18"/>
        </w:rPr>
        <w:t>Promark-Telecon</w:t>
      </w:r>
      <w:proofErr w:type="spellEnd"/>
      <w:r>
        <w:rPr>
          <w:rFonts w:ascii="Roboto" w:hAnsi="Roboto"/>
          <w:color w:val="000000"/>
          <w:sz w:val="18"/>
          <w:szCs w:val="18"/>
        </w:rPr>
        <w:t xml:space="preserve">, </w:t>
      </w:r>
      <w:proofErr w:type="spellStart"/>
      <w:r>
        <w:rPr>
          <w:rFonts w:ascii="Roboto" w:hAnsi="Roboto"/>
          <w:color w:val="000000"/>
          <w:sz w:val="18"/>
          <w:szCs w:val="18"/>
        </w:rPr>
        <w:t>Expercom</w:t>
      </w:r>
      <w:proofErr w:type="spellEnd"/>
      <w:r>
        <w:rPr>
          <w:rFonts w:ascii="Roboto" w:hAnsi="Roboto"/>
          <w:color w:val="000000"/>
          <w:sz w:val="18"/>
          <w:szCs w:val="18"/>
        </w:rPr>
        <w:t xml:space="preserve">, </w:t>
      </w:r>
      <w:proofErr w:type="spellStart"/>
      <w:r>
        <w:rPr>
          <w:rFonts w:ascii="Roboto" w:hAnsi="Roboto"/>
          <w:color w:val="000000"/>
          <w:sz w:val="18"/>
          <w:szCs w:val="18"/>
        </w:rPr>
        <w:t>Chemco-Telecon</w:t>
      </w:r>
      <w:proofErr w:type="spellEnd"/>
      <w:r>
        <w:rPr>
          <w:rFonts w:ascii="Roboto" w:hAnsi="Roboto"/>
          <w:color w:val="000000"/>
          <w:sz w:val="18"/>
          <w:szCs w:val="18"/>
        </w:rPr>
        <w:t xml:space="preserve"> Infrastructure, </w:t>
      </w:r>
      <w:proofErr w:type="spellStart"/>
      <w:r>
        <w:rPr>
          <w:rFonts w:ascii="Roboto" w:hAnsi="Roboto"/>
          <w:color w:val="000000"/>
          <w:sz w:val="18"/>
          <w:szCs w:val="18"/>
        </w:rPr>
        <w:t>Telecon</w:t>
      </w:r>
      <w:proofErr w:type="spellEnd"/>
      <w:r>
        <w:rPr>
          <w:rFonts w:ascii="Roboto" w:hAnsi="Roboto"/>
          <w:color w:val="000000"/>
          <w:sz w:val="18"/>
          <w:szCs w:val="18"/>
        </w:rPr>
        <w:t xml:space="preserve"> Entreprises, </w:t>
      </w:r>
      <w:proofErr w:type="spellStart"/>
      <w:r>
        <w:rPr>
          <w:rFonts w:ascii="Roboto" w:hAnsi="Roboto"/>
          <w:color w:val="000000"/>
          <w:sz w:val="18"/>
          <w:szCs w:val="18"/>
        </w:rPr>
        <w:t>Marcomm</w:t>
      </w:r>
      <w:proofErr w:type="spellEnd"/>
      <w:r>
        <w:rPr>
          <w:rFonts w:ascii="Roboto" w:hAnsi="Roboto"/>
          <w:color w:val="000000"/>
          <w:sz w:val="18"/>
          <w:szCs w:val="18"/>
        </w:rPr>
        <w:t xml:space="preserve">, Plexus, </w:t>
      </w:r>
      <w:proofErr w:type="spellStart"/>
      <w:r>
        <w:rPr>
          <w:rFonts w:ascii="Roboto" w:hAnsi="Roboto"/>
          <w:color w:val="000000"/>
          <w:sz w:val="18"/>
          <w:szCs w:val="18"/>
        </w:rPr>
        <w:t>Unified</w:t>
      </w:r>
      <w:proofErr w:type="spellEnd"/>
      <w:r>
        <w:rPr>
          <w:rFonts w:ascii="Roboto" w:hAnsi="Roboto"/>
          <w:color w:val="000000"/>
          <w:sz w:val="18"/>
          <w:szCs w:val="18"/>
        </w:rPr>
        <w:t xml:space="preserve"> </w:t>
      </w:r>
      <w:proofErr w:type="spellStart"/>
      <w:r>
        <w:rPr>
          <w:rFonts w:ascii="Roboto" w:hAnsi="Roboto"/>
          <w:color w:val="000000"/>
          <w:sz w:val="18"/>
          <w:szCs w:val="18"/>
        </w:rPr>
        <w:t>Systems</w:t>
      </w:r>
      <w:proofErr w:type="spellEnd"/>
      <w:r>
        <w:rPr>
          <w:rFonts w:ascii="Roboto" w:hAnsi="Roboto"/>
          <w:color w:val="000000"/>
          <w:sz w:val="18"/>
          <w:szCs w:val="18"/>
        </w:rPr>
        <w:t xml:space="preserve"> Group, SC360, </w:t>
      </w:r>
      <w:proofErr w:type="spellStart"/>
      <w:r>
        <w:rPr>
          <w:rFonts w:ascii="Roboto" w:hAnsi="Roboto"/>
          <w:color w:val="000000"/>
          <w:sz w:val="18"/>
          <w:szCs w:val="18"/>
        </w:rPr>
        <w:t>Questzones</w:t>
      </w:r>
      <w:proofErr w:type="spellEnd"/>
      <w:r>
        <w:rPr>
          <w:rFonts w:ascii="Roboto" w:hAnsi="Roboto"/>
          <w:color w:val="000000"/>
          <w:sz w:val="18"/>
          <w:szCs w:val="18"/>
        </w:rPr>
        <w:t xml:space="preserve"> et TRJ Telecom. </w:t>
      </w:r>
      <w:r>
        <w:rPr>
          <w:rFonts w:ascii="Roboto" w:hAnsi="Roboto"/>
          <w:color w:val="000000"/>
          <w:sz w:val="18"/>
          <w:szCs w:val="18"/>
          <w:lang w:val="en-US"/>
        </w:rPr>
        <w:t xml:space="preserve">Pour plus de </w:t>
      </w:r>
      <w:proofErr w:type="spellStart"/>
      <w:r>
        <w:rPr>
          <w:rFonts w:ascii="Roboto" w:hAnsi="Roboto"/>
          <w:color w:val="000000"/>
          <w:sz w:val="18"/>
          <w:szCs w:val="18"/>
          <w:lang w:val="en-US"/>
        </w:rPr>
        <w:t>renseignements</w:t>
      </w:r>
      <w:proofErr w:type="spellEnd"/>
      <w:r>
        <w:rPr>
          <w:rFonts w:ascii="Roboto" w:hAnsi="Roboto"/>
          <w:color w:val="000000"/>
          <w:sz w:val="18"/>
          <w:szCs w:val="18"/>
          <w:lang w:val="en-US"/>
        </w:rPr>
        <w:t xml:space="preserve"> sur Telecon, </w:t>
      </w:r>
      <w:proofErr w:type="spellStart"/>
      <w:r>
        <w:rPr>
          <w:rFonts w:ascii="Roboto" w:hAnsi="Roboto"/>
          <w:color w:val="000000"/>
          <w:sz w:val="18"/>
          <w:szCs w:val="18"/>
          <w:lang w:val="en-US"/>
        </w:rPr>
        <w:t>visitez</w:t>
      </w:r>
      <w:proofErr w:type="spellEnd"/>
      <w:r>
        <w:rPr>
          <w:rFonts w:ascii="Roboto" w:hAnsi="Roboto"/>
          <w:color w:val="000000"/>
          <w:sz w:val="18"/>
          <w:szCs w:val="18"/>
          <w:lang w:val="en-US"/>
        </w:rPr>
        <w:t> </w:t>
      </w:r>
      <w:hyperlink r:id="rId7" w:tgtFrame="_blank" w:history="1">
        <w:r>
          <w:rPr>
            <w:rStyle w:val="Lienhypertexte"/>
            <w:rFonts w:ascii="Roboto" w:hAnsi="Roboto"/>
            <w:color w:val="0087CC"/>
            <w:sz w:val="18"/>
            <w:szCs w:val="18"/>
            <w:lang w:val="en-US"/>
          </w:rPr>
          <w:t>telecon.com</w:t>
        </w:r>
      </w:hyperlink>
      <w:r>
        <w:rPr>
          <w:rFonts w:ascii="Roboto" w:hAnsi="Roboto"/>
          <w:color w:val="000000"/>
          <w:sz w:val="18"/>
          <w:szCs w:val="18"/>
          <w:lang w:val="en-US"/>
        </w:rPr>
        <w:t>.</w:t>
      </w:r>
    </w:p>
    <w:sectPr w:rsidR="00826F83" w:rsidSect="0048230D">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C6CCE"/>
    <w:multiLevelType w:val="multilevel"/>
    <w:tmpl w:val="DDD0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6B31BA"/>
    <w:multiLevelType w:val="multilevel"/>
    <w:tmpl w:val="F8346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0D"/>
    <w:rsid w:val="0048230D"/>
    <w:rsid w:val="00826F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6B21"/>
  <w15:chartTrackingRefBased/>
  <w15:docId w15:val="{227C8FF1-8534-45A8-871B-ED3FDAB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0D"/>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230D"/>
    <w:rPr>
      <w:color w:val="0563C1"/>
      <w:u w:val="single"/>
    </w:rPr>
  </w:style>
  <w:style w:type="paragraph" w:styleId="NormalWeb">
    <w:name w:val="Normal (Web)"/>
    <w:basedOn w:val="Normal"/>
    <w:uiPriority w:val="99"/>
    <w:unhideWhenUsed/>
    <w:rsid w:val="0048230D"/>
    <w:pPr>
      <w:spacing w:before="100" w:beforeAutospacing="1" w:after="100" w:afterAutospacing="1"/>
    </w:pPr>
  </w:style>
  <w:style w:type="character" w:styleId="lev">
    <w:name w:val="Strong"/>
    <w:basedOn w:val="Policepardfaut"/>
    <w:uiPriority w:val="22"/>
    <w:qFormat/>
    <w:rsid w:val="00482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3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3A%2F%2Fwww.telecon.com%2F&amp;data=02%7C01%7CSonia.Medeiros-Brum%40Telecon.ca%7C5e3cd119ff354ef8c0f508d860b7fe92%7Cbb329f08cad94614ad223bf29fdeb248%7C0%7C0%7C637365690645935276&amp;sdata=BvOnYk7412ghj54D2D34gXGFiGoGU9IyzphIdMHh6J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ne.deschenes@telecon.ca" TargetMode="External"/><Relationship Id="rId5" Type="http://schemas.openxmlformats.org/officeDocument/2006/relationships/hyperlink" Target="https://tre.tbe.taleo.net/tre01/ats/careers/v2/viewRequisition?org=TELECONINC&amp;cws=43&amp;rid=41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3401</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2021-03-24T19:58:00Z</dcterms:created>
  <dcterms:modified xsi:type="dcterms:W3CDTF">2021-03-24T19:59:00Z</dcterms:modified>
</cp:coreProperties>
</file>